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79" w:type="dxa"/>
        <w:tblInd w:w="-142" w:type="dxa"/>
        <w:tblLook w:val="01E0" w:firstRow="1" w:lastRow="1" w:firstColumn="1" w:lastColumn="1" w:noHBand="0" w:noVBand="0"/>
      </w:tblPr>
      <w:tblGrid>
        <w:gridCol w:w="5783"/>
        <w:gridCol w:w="8896"/>
      </w:tblGrid>
      <w:tr w:rsidR="003B08AD" w:rsidRPr="003F2E49" w:rsidTr="000C0614">
        <w:trPr>
          <w:trHeight w:val="1196"/>
        </w:trPr>
        <w:tc>
          <w:tcPr>
            <w:tcW w:w="5783" w:type="dxa"/>
          </w:tcPr>
          <w:p w:rsidR="003B08AD" w:rsidRDefault="003B08AD" w:rsidP="000C0614">
            <w:pPr>
              <w:spacing w:after="0" w:line="240" w:lineRule="auto"/>
              <w:jc w:val="center"/>
              <w:rPr>
                <w:rFonts w:ascii="Times New Roman" w:eastAsia="Times New Roman" w:hAnsi="Times New Roman"/>
                <w:sz w:val="26"/>
                <w:szCs w:val="28"/>
              </w:rPr>
            </w:pPr>
            <w:r w:rsidRPr="003F2E49">
              <w:rPr>
                <w:rFonts w:ascii="Times New Roman" w:eastAsia="Times New Roman" w:hAnsi="Times New Roman"/>
                <w:sz w:val="26"/>
                <w:szCs w:val="28"/>
              </w:rPr>
              <w:t>UBND TỈNH KHÁNH HÒA</w:t>
            </w:r>
          </w:p>
          <w:p w:rsidR="003B08AD" w:rsidRPr="00A538DC" w:rsidRDefault="003B08AD" w:rsidP="000C0614">
            <w:pPr>
              <w:spacing w:after="0" w:line="240" w:lineRule="auto"/>
              <w:jc w:val="center"/>
              <w:rPr>
                <w:rFonts w:ascii="Times New Roman" w:eastAsia="Times New Roman" w:hAnsi="Times New Roman"/>
                <w:sz w:val="26"/>
                <w:szCs w:val="28"/>
              </w:rPr>
            </w:pPr>
            <w:r w:rsidRPr="003F2E49">
              <w:rPr>
                <w:rFonts w:ascii="Times New Roman" w:eastAsia="Times New Roman" w:hAnsi="Times New Roman"/>
                <w:b/>
                <w:sz w:val="26"/>
                <w:szCs w:val="26"/>
              </w:rPr>
              <w:t>SỞ GIÁO DỤC VÀ ĐÀO TẠO</w:t>
            </w:r>
          </w:p>
          <w:p w:rsidR="003B08AD" w:rsidRPr="003F2E49" w:rsidRDefault="003B08AD" w:rsidP="000C0614">
            <w:pPr>
              <w:spacing w:after="0" w:line="240" w:lineRule="auto"/>
              <w:rPr>
                <w:rFonts w:ascii="Times New Roman" w:hAnsi="Times New Roman"/>
                <w:sz w:val="26"/>
              </w:rPr>
            </w:pPr>
            <w:r>
              <w:rPr>
                <w:rFonts w:ascii="Times New Roman" w:hAnsi="Times New Roman"/>
                <w:noProof/>
                <w:sz w:val="26"/>
                <w:lang w:val="en-GB" w:eastAsia="en-GB"/>
              </w:rPr>
              <mc:AlternateContent>
                <mc:Choice Requires="wps">
                  <w:drawing>
                    <wp:anchor distT="0" distB="0" distL="114300" distR="114300" simplePos="0" relativeHeight="251660288" behindDoc="0" locked="0" layoutInCell="1" allowOverlap="1" wp14:anchorId="3A0F2127" wp14:editId="7177A351">
                      <wp:simplePos x="0" y="0"/>
                      <wp:positionH relativeFrom="column">
                        <wp:posOffset>1182607</wp:posOffset>
                      </wp:positionH>
                      <wp:positionV relativeFrom="paragraph">
                        <wp:posOffset>57298</wp:posOffset>
                      </wp:positionV>
                      <wp:extent cx="109182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91821"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EEDB9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3.1pt,4.5pt" to="179.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" strokecolor="black [3213]" strokeweight=".25pt">
                      <v:stroke joinstyle="miter"/>
                    </v:line>
                  </w:pict>
                </mc:Fallback>
              </mc:AlternateContent>
            </w:r>
            <w:r w:rsidRPr="003F2E49">
              <w:rPr>
                <w:rFonts w:ascii="Times New Roman" w:hAnsi="Times New Roman"/>
                <w:sz w:val="26"/>
              </w:rPr>
              <w:t xml:space="preserve">    </w:t>
            </w:r>
          </w:p>
          <w:p w:rsidR="003B08AD" w:rsidRPr="00B679B6" w:rsidRDefault="003B08AD" w:rsidP="000C0614">
            <w:pPr>
              <w:spacing w:after="0" w:line="240" w:lineRule="auto"/>
              <w:jc w:val="center"/>
              <w:rPr>
                <w:rFonts w:ascii="Times New Roman" w:hAnsi="Times New Roman"/>
                <w:sz w:val="28"/>
                <w:szCs w:val="28"/>
              </w:rPr>
            </w:pPr>
          </w:p>
        </w:tc>
        <w:tc>
          <w:tcPr>
            <w:tcW w:w="8896" w:type="dxa"/>
          </w:tcPr>
          <w:p w:rsidR="003B08AD" w:rsidRDefault="003B08AD" w:rsidP="000C0614">
            <w:pPr>
              <w:spacing w:after="0" w:line="240" w:lineRule="auto"/>
              <w:jc w:val="center"/>
              <w:rPr>
                <w:rFonts w:ascii="Times New Roman" w:hAnsi="Times New Roman"/>
                <w:sz w:val="26"/>
              </w:rPr>
            </w:pPr>
            <w:r w:rsidRPr="003F2E49">
              <w:rPr>
                <w:rFonts w:ascii="Times New Roman" w:hAnsi="Times New Roman"/>
                <w:b/>
                <w:sz w:val="26"/>
                <w:szCs w:val="26"/>
              </w:rPr>
              <w:t>CỘNG HÒA XÃ HỘI CHỦ NGHĨA VIỆT NAM</w:t>
            </w:r>
            <w:r w:rsidRPr="003F2E49">
              <w:rPr>
                <w:rFonts w:ascii="Times New Roman" w:hAnsi="Times New Roman"/>
                <w:sz w:val="26"/>
              </w:rPr>
              <w:t xml:space="preserve">   </w:t>
            </w:r>
          </w:p>
          <w:p w:rsidR="003B08AD" w:rsidRPr="003F2E49" w:rsidRDefault="003B08AD" w:rsidP="000C0614">
            <w:pPr>
              <w:spacing w:after="0" w:line="240" w:lineRule="auto"/>
              <w:jc w:val="center"/>
              <w:rPr>
                <w:rFonts w:ascii="Times New Roman" w:hAnsi="Times New Roman"/>
                <w:b/>
                <w:sz w:val="28"/>
                <w:szCs w:val="28"/>
              </w:rPr>
            </w:pPr>
            <w:r w:rsidRPr="003F2E49">
              <w:rPr>
                <w:rFonts w:ascii="Times New Roman" w:hAnsi="Times New Roman"/>
                <w:b/>
                <w:sz w:val="28"/>
                <w:szCs w:val="28"/>
              </w:rPr>
              <w:t>Độc lập – Tự do – Hạnh phúc</w:t>
            </w:r>
          </w:p>
          <w:p w:rsidR="003B08AD" w:rsidRPr="003F2E49" w:rsidRDefault="003B08AD" w:rsidP="000C0614">
            <w:pPr>
              <w:spacing w:after="0" w:line="240" w:lineRule="auto"/>
              <w:jc w:val="center"/>
              <w:rPr>
                <w:rFonts w:ascii="Times New Roman" w:hAnsi="Times New Roman"/>
                <w:i/>
                <w:sz w:val="26"/>
                <w:szCs w:val="26"/>
              </w:rPr>
            </w:pPr>
            <w:r>
              <w:rPr>
                <w:rFonts w:ascii="Times New Roman" w:hAnsi="Times New Roman"/>
                <w:i/>
                <w:noProof/>
                <w:sz w:val="26"/>
                <w:lang w:val="en-GB" w:eastAsia="en-GB"/>
              </w:rPr>
              <mc:AlternateContent>
                <mc:Choice Requires="wps">
                  <w:drawing>
                    <wp:anchor distT="0" distB="0" distL="114300" distR="114300" simplePos="0" relativeHeight="251659264" behindDoc="0" locked="0" layoutInCell="1" allowOverlap="1" wp14:anchorId="15C14593" wp14:editId="3296E8A7">
                      <wp:simplePos x="0" y="0"/>
                      <wp:positionH relativeFrom="column">
                        <wp:posOffset>1644134</wp:posOffset>
                      </wp:positionH>
                      <wp:positionV relativeFrom="paragraph">
                        <wp:posOffset>42058</wp:posOffset>
                      </wp:positionV>
                      <wp:extent cx="2209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B642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45pt,3.3pt" to="303.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" strokeweight=".25pt"/>
                  </w:pict>
                </mc:Fallback>
              </mc:AlternateContent>
            </w:r>
          </w:p>
          <w:p w:rsidR="003B08AD" w:rsidRPr="003F2E49" w:rsidRDefault="003B08AD" w:rsidP="003B08AD">
            <w:pPr>
              <w:spacing w:after="0" w:line="240" w:lineRule="auto"/>
              <w:jc w:val="center"/>
              <w:rPr>
                <w:rFonts w:ascii="Times New Roman" w:hAnsi="Times New Roman"/>
                <w:i/>
                <w:sz w:val="28"/>
                <w:szCs w:val="28"/>
              </w:rPr>
            </w:pPr>
            <w:r w:rsidRPr="003F2E49">
              <w:rPr>
                <w:rFonts w:ascii="Times New Roman" w:hAnsi="Times New Roman"/>
                <w:i/>
                <w:sz w:val="28"/>
                <w:szCs w:val="28"/>
              </w:rPr>
              <w:t xml:space="preserve">Khánh Hòa, ngày </w:t>
            </w:r>
            <w:r>
              <w:rPr>
                <w:rFonts w:ascii="Times New Roman" w:hAnsi="Times New Roman"/>
                <w:i/>
                <w:sz w:val="28"/>
                <w:szCs w:val="28"/>
              </w:rPr>
              <w:t xml:space="preserve">     </w:t>
            </w:r>
            <w:r w:rsidRPr="003F2E49">
              <w:rPr>
                <w:rFonts w:ascii="Times New Roman" w:hAnsi="Times New Roman"/>
                <w:i/>
                <w:sz w:val="28"/>
                <w:szCs w:val="28"/>
              </w:rPr>
              <w:t xml:space="preserve"> tháng </w:t>
            </w:r>
            <w:r>
              <w:rPr>
                <w:rFonts w:ascii="Times New Roman" w:hAnsi="Times New Roman"/>
                <w:i/>
                <w:sz w:val="28"/>
                <w:szCs w:val="28"/>
              </w:rPr>
              <w:t>3</w:t>
            </w:r>
            <w:r>
              <w:rPr>
                <w:rFonts w:ascii="Times New Roman" w:hAnsi="Times New Roman"/>
                <w:i/>
                <w:sz w:val="28"/>
                <w:szCs w:val="28"/>
              </w:rPr>
              <w:t xml:space="preserve"> </w:t>
            </w:r>
            <w:r w:rsidRPr="003F2E49">
              <w:rPr>
                <w:rFonts w:ascii="Times New Roman" w:hAnsi="Times New Roman"/>
                <w:i/>
                <w:sz w:val="28"/>
                <w:szCs w:val="28"/>
              </w:rPr>
              <w:t>năm 202</w:t>
            </w:r>
            <w:r>
              <w:rPr>
                <w:rFonts w:ascii="Times New Roman" w:hAnsi="Times New Roman"/>
                <w:i/>
                <w:sz w:val="28"/>
                <w:szCs w:val="28"/>
              </w:rPr>
              <w:t>6</w:t>
            </w:r>
          </w:p>
        </w:tc>
      </w:tr>
    </w:tbl>
    <w:p w:rsidR="003B08AD" w:rsidRPr="003F2E49" w:rsidRDefault="003B08AD" w:rsidP="003B08AD">
      <w:pPr>
        <w:spacing w:before="60" w:after="60" w:line="312" w:lineRule="auto"/>
        <w:jc w:val="center"/>
        <w:rPr>
          <w:rFonts w:ascii="Times New Roman" w:hAnsi="Times New Roman"/>
          <w:sz w:val="26"/>
        </w:rPr>
      </w:pPr>
    </w:p>
    <w:p w:rsidR="003B08AD" w:rsidRPr="00D709CF" w:rsidRDefault="003B08AD" w:rsidP="003B08AD">
      <w:pPr>
        <w:spacing w:after="120" w:line="240" w:lineRule="auto"/>
        <w:jc w:val="center"/>
        <w:rPr>
          <w:rFonts w:ascii="Times New Roman" w:hAnsi="Times New Roman"/>
          <w:b/>
          <w:sz w:val="28"/>
          <w:szCs w:val="28"/>
        </w:rPr>
      </w:pPr>
      <w:r w:rsidRPr="00D709CF">
        <w:rPr>
          <w:rFonts w:ascii="Times New Roman" w:hAnsi="Times New Roman"/>
          <w:b/>
          <w:sz w:val="28"/>
          <w:szCs w:val="28"/>
        </w:rPr>
        <w:t>BẢN SO SÁNH, THUYẾT MINH DỰ THẢO VĂN BẢN QUY PHẠM PHÁP LUẬT</w:t>
      </w:r>
    </w:p>
    <w:p w:rsidR="003B08AD" w:rsidRPr="003F2E49" w:rsidRDefault="003B08AD" w:rsidP="003B08AD">
      <w:pPr>
        <w:spacing w:before="60" w:after="120"/>
        <w:ind w:firstLine="603"/>
        <w:jc w:val="both"/>
        <w:rPr>
          <w:rFonts w:ascii="Times New Roman" w:hAnsi="Times New Roman"/>
          <w:b/>
          <w:sz w:val="12"/>
        </w:rPr>
      </w:pPr>
    </w:p>
    <w:tbl>
      <w:tblPr>
        <w:tblStyle w:val="TableGrid"/>
        <w:tblW w:w="14890" w:type="dxa"/>
        <w:tblLook w:val="04A0" w:firstRow="1" w:lastRow="0" w:firstColumn="1" w:lastColumn="0" w:noHBand="0" w:noVBand="1"/>
      </w:tblPr>
      <w:tblGrid>
        <w:gridCol w:w="2972"/>
        <w:gridCol w:w="4962"/>
        <w:gridCol w:w="11"/>
        <w:gridCol w:w="4525"/>
        <w:gridCol w:w="11"/>
        <w:gridCol w:w="2398"/>
        <w:gridCol w:w="11"/>
      </w:tblGrid>
      <w:tr w:rsidR="003B08AD" w:rsidRPr="00973957" w:rsidTr="00651318">
        <w:trPr>
          <w:tblHeader/>
        </w:trPr>
        <w:tc>
          <w:tcPr>
            <w:tcW w:w="7945" w:type="dxa"/>
            <w:gridSpan w:val="3"/>
            <w:vAlign w:val="center"/>
          </w:tcPr>
          <w:p w:rsidR="003B08AD" w:rsidRPr="00973957" w:rsidRDefault="003B08AD" w:rsidP="000C0614">
            <w:pPr>
              <w:spacing w:after="0"/>
              <w:jc w:val="center"/>
              <w:rPr>
                <w:rFonts w:ascii="Times New Roman" w:hAnsi="Times New Roman"/>
                <w:b/>
                <w:sz w:val="26"/>
                <w:szCs w:val="26"/>
              </w:rPr>
            </w:pPr>
            <w:r w:rsidRPr="00973957">
              <w:rPr>
                <w:rFonts w:ascii="Times New Roman" w:hAnsi="Times New Roman"/>
                <w:b/>
                <w:sz w:val="26"/>
                <w:szCs w:val="26"/>
              </w:rPr>
              <w:t xml:space="preserve">VĂN BẢN </w:t>
            </w:r>
            <w:r w:rsidRPr="00973957">
              <w:rPr>
                <w:rFonts w:ascii="Times New Roman" w:hAnsi="Times New Roman"/>
                <w:b/>
                <w:sz w:val="26"/>
                <w:szCs w:val="26"/>
              </w:rPr>
              <w:t>QUY PHẠM PHÁP LUẬT HIỆN HÀNH</w:t>
            </w:r>
          </w:p>
        </w:tc>
        <w:tc>
          <w:tcPr>
            <w:tcW w:w="4536" w:type="dxa"/>
            <w:gridSpan w:val="2"/>
            <w:vAlign w:val="center"/>
          </w:tcPr>
          <w:p w:rsidR="003B08AD" w:rsidRPr="00973957" w:rsidRDefault="003B08AD" w:rsidP="000C0614">
            <w:pPr>
              <w:spacing w:after="0"/>
              <w:jc w:val="center"/>
              <w:rPr>
                <w:rFonts w:ascii="Times New Roman" w:hAnsi="Times New Roman"/>
                <w:b/>
                <w:sz w:val="26"/>
                <w:szCs w:val="26"/>
              </w:rPr>
            </w:pPr>
            <w:r w:rsidRPr="00973957">
              <w:rPr>
                <w:rFonts w:ascii="Times New Roman" w:hAnsi="Times New Roman"/>
                <w:b/>
                <w:sz w:val="26"/>
                <w:szCs w:val="26"/>
              </w:rPr>
              <w:t>DỰ THẢO VĂN BẢN</w:t>
            </w:r>
            <w:r w:rsidRPr="00973957">
              <w:rPr>
                <w:rFonts w:ascii="Times New Roman" w:hAnsi="Times New Roman"/>
                <w:b/>
                <w:sz w:val="26"/>
                <w:szCs w:val="26"/>
              </w:rPr>
              <w:t xml:space="preserve"> QUY PHẠM PHÁP LUẬT </w:t>
            </w:r>
          </w:p>
        </w:tc>
        <w:tc>
          <w:tcPr>
            <w:tcW w:w="2409" w:type="dxa"/>
            <w:gridSpan w:val="2"/>
            <w:vAlign w:val="center"/>
          </w:tcPr>
          <w:p w:rsidR="003B08AD" w:rsidRPr="00973957" w:rsidRDefault="003B08AD" w:rsidP="000C0614">
            <w:pPr>
              <w:spacing w:after="0"/>
              <w:jc w:val="center"/>
              <w:rPr>
                <w:rFonts w:ascii="Times New Roman" w:hAnsi="Times New Roman"/>
                <w:b/>
                <w:sz w:val="26"/>
                <w:szCs w:val="26"/>
              </w:rPr>
            </w:pPr>
            <w:r w:rsidRPr="00973957">
              <w:rPr>
                <w:rFonts w:ascii="Times New Roman" w:hAnsi="Times New Roman"/>
                <w:b/>
                <w:sz w:val="26"/>
                <w:szCs w:val="26"/>
              </w:rPr>
              <w:t>THUYẾT MINH</w:t>
            </w:r>
          </w:p>
        </w:tc>
      </w:tr>
      <w:tr w:rsidR="00E77D59" w:rsidRPr="00973957" w:rsidTr="00651318">
        <w:trPr>
          <w:gridAfter w:val="1"/>
          <w:wAfter w:w="11" w:type="dxa"/>
          <w:trHeight w:val="1474"/>
        </w:trPr>
        <w:tc>
          <w:tcPr>
            <w:tcW w:w="2972" w:type="dxa"/>
          </w:tcPr>
          <w:p w:rsidR="00E77D59" w:rsidRPr="00973957" w:rsidRDefault="00E77D59" w:rsidP="000C0614">
            <w:pPr>
              <w:spacing w:after="0"/>
              <w:jc w:val="both"/>
              <w:rPr>
                <w:rFonts w:ascii="Times New Roman" w:hAnsi="Times New Roman"/>
                <w:sz w:val="26"/>
                <w:szCs w:val="26"/>
              </w:rPr>
            </w:pPr>
            <w:r w:rsidRPr="00973957">
              <w:rPr>
                <w:rFonts w:ascii="Times New Roman" w:hAnsi="Times New Roman"/>
                <w:sz w:val="26"/>
                <w:szCs w:val="26"/>
              </w:rPr>
              <w:t>Nghị quyết số 10/2023/NQ-HĐND ngày 21/7/2023 của HĐND tỉnh Khánh Hòa (được sửa đổi bởi Nghị quyết số 18/2024/NQ-HĐND ngày 12/12/2024 của HĐND tỉnh Khánh Hòa)</w:t>
            </w:r>
          </w:p>
        </w:tc>
        <w:tc>
          <w:tcPr>
            <w:tcW w:w="4962" w:type="dxa"/>
          </w:tcPr>
          <w:p w:rsidR="006C5C53" w:rsidRPr="00973957" w:rsidRDefault="006C5C53" w:rsidP="006C5C53">
            <w:pPr>
              <w:spacing w:after="0"/>
              <w:jc w:val="both"/>
              <w:rPr>
                <w:rFonts w:ascii="Times New Roman" w:hAnsi="Times New Roman"/>
                <w:b/>
                <w:sz w:val="26"/>
                <w:szCs w:val="26"/>
              </w:rPr>
            </w:pPr>
            <w:r w:rsidRPr="00973957">
              <w:rPr>
                <w:rFonts w:ascii="Times New Roman" w:hAnsi="Times New Roman"/>
                <w:b/>
                <w:sz w:val="26"/>
                <w:szCs w:val="26"/>
              </w:rPr>
              <w:t>Điều 1. Phạm vi điều chỉnh và đối tượng áp dụng</w:t>
            </w:r>
          </w:p>
          <w:p w:rsidR="006C5C53" w:rsidRPr="00973957" w:rsidRDefault="006C5C53" w:rsidP="006C5C53">
            <w:pPr>
              <w:spacing w:after="0"/>
              <w:jc w:val="both"/>
              <w:rPr>
                <w:rFonts w:ascii="Times New Roman" w:hAnsi="Times New Roman"/>
                <w:sz w:val="26"/>
                <w:szCs w:val="26"/>
              </w:rPr>
            </w:pPr>
            <w:r w:rsidRPr="00973957">
              <w:rPr>
                <w:rFonts w:ascii="Times New Roman" w:hAnsi="Times New Roman"/>
                <w:sz w:val="26"/>
                <w:szCs w:val="26"/>
              </w:rPr>
              <w:t>1. Phạm vi điều chỉnh</w:t>
            </w:r>
          </w:p>
          <w:p w:rsidR="006C5C53" w:rsidRPr="00973957" w:rsidRDefault="006C5C53" w:rsidP="006C5C53">
            <w:pPr>
              <w:spacing w:after="0"/>
              <w:jc w:val="both"/>
              <w:rPr>
                <w:rFonts w:ascii="Times New Roman" w:hAnsi="Times New Roman"/>
                <w:sz w:val="26"/>
                <w:szCs w:val="26"/>
              </w:rPr>
            </w:pPr>
            <w:r w:rsidRPr="00973957">
              <w:rPr>
                <w:rFonts w:ascii="Times New Roman" w:hAnsi="Times New Roman"/>
                <w:sz w:val="26"/>
                <w:szCs w:val="26"/>
              </w:rPr>
              <w:t xml:space="preserve">a) Nội dung và mức chi thực hiện nhiệm vụ tổ chức các kỳ thi cấp quốc gia do Bộ Giáo dục và Đào tạo ra đề (kỳ thi chọn học sinh giỏi quốc gia, kỳ thi tốt nghiệp trung học phổ thông). </w:t>
            </w:r>
          </w:p>
          <w:p w:rsidR="006C5C53" w:rsidRPr="00973957" w:rsidRDefault="006C5C53" w:rsidP="006C5C53">
            <w:pPr>
              <w:spacing w:after="0"/>
              <w:jc w:val="both"/>
              <w:rPr>
                <w:rFonts w:ascii="Times New Roman" w:hAnsi="Times New Roman"/>
                <w:sz w:val="26"/>
                <w:szCs w:val="26"/>
              </w:rPr>
            </w:pPr>
            <w:r w:rsidRPr="00973957">
              <w:rPr>
                <w:rFonts w:ascii="Times New Roman" w:hAnsi="Times New Roman"/>
                <w:sz w:val="26"/>
                <w:szCs w:val="26"/>
              </w:rPr>
              <w:t xml:space="preserve">b) Nội dung và mức chi bồi dưỡng tổ chức các kỳ thi do cấp tỉnh, cấp huyện, cấp trường ra đề (kỳ thi chọn học sinh giỏi, kỳ thi chọn đội tuyển thi học sinh giỏi quốc gia trung học phổ thông, kỳ thi tuyển sinh vào lớp 10 trung học phổ thông). </w:t>
            </w:r>
          </w:p>
          <w:p w:rsidR="006C5C53" w:rsidRPr="00973957" w:rsidRDefault="006C5C53" w:rsidP="006C5C53">
            <w:pPr>
              <w:spacing w:after="0"/>
              <w:jc w:val="both"/>
              <w:rPr>
                <w:rFonts w:ascii="Times New Roman" w:hAnsi="Times New Roman"/>
                <w:sz w:val="26"/>
                <w:szCs w:val="26"/>
              </w:rPr>
            </w:pPr>
            <w:r w:rsidRPr="00973957">
              <w:rPr>
                <w:rFonts w:ascii="Times New Roman" w:hAnsi="Times New Roman"/>
                <w:sz w:val="26"/>
                <w:szCs w:val="26"/>
              </w:rPr>
              <w:t>c) Nội dung và mức chi bồi dưỡng tổ chức các cuộc thi, hội thi, hội thao, hội khỏe măng non, hội khỏe Phù Đổng trong lĩnh vực giáo dục và đào tạo trên địa bàn tỉnh.</w:t>
            </w:r>
            <w:r w:rsidRPr="00973957">
              <w:rPr>
                <w:rFonts w:ascii="Times New Roman" w:hAnsi="Times New Roman"/>
                <w:sz w:val="26"/>
                <w:szCs w:val="26"/>
              </w:rPr>
              <w:t xml:space="preserve"> </w:t>
            </w:r>
          </w:p>
          <w:p w:rsidR="006C5C53" w:rsidRPr="00973957" w:rsidRDefault="006C5C53" w:rsidP="006C5C53">
            <w:pPr>
              <w:spacing w:after="0"/>
              <w:jc w:val="both"/>
              <w:rPr>
                <w:rFonts w:ascii="Times New Roman" w:hAnsi="Times New Roman"/>
                <w:sz w:val="26"/>
                <w:szCs w:val="26"/>
              </w:rPr>
            </w:pPr>
            <w:r w:rsidRPr="00973957">
              <w:rPr>
                <w:rFonts w:ascii="Times New Roman" w:hAnsi="Times New Roman"/>
                <w:sz w:val="26"/>
                <w:szCs w:val="26"/>
              </w:rPr>
              <w:lastRenderedPageBreak/>
              <w:t xml:space="preserve">d) Các nội dung chi khác thực hiện theo quy định tại Thông tư số 69/2021/TT-BTC ngày 11 tháng 8 năm 2021 của Bộ trưởng Bộ Tài chính hướng dẫn quản lý kinh phí chuẩn bị, tổ chức và tham dự các kỳ thi áp dụng đối với giáo dục phổ thông. </w:t>
            </w:r>
          </w:p>
          <w:p w:rsidR="006C5C53" w:rsidRPr="00973957" w:rsidRDefault="006C5C53" w:rsidP="006C5C53">
            <w:pPr>
              <w:spacing w:after="0"/>
              <w:jc w:val="both"/>
              <w:rPr>
                <w:rFonts w:ascii="Times New Roman" w:hAnsi="Times New Roman"/>
                <w:sz w:val="26"/>
                <w:szCs w:val="26"/>
              </w:rPr>
            </w:pPr>
            <w:r w:rsidRPr="00973957">
              <w:rPr>
                <w:rFonts w:ascii="Times New Roman" w:hAnsi="Times New Roman"/>
                <w:sz w:val="26"/>
                <w:szCs w:val="26"/>
              </w:rPr>
              <w:t xml:space="preserve">2. Đối tượng áp dụng </w:t>
            </w:r>
          </w:p>
          <w:p w:rsidR="00E77D59" w:rsidRPr="00973957" w:rsidRDefault="006C5C53" w:rsidP="006C5C53">
            <w:pPr>
              <w:spacing w:after="0"/>
              <w:jc w:val="both"/>
              <w:rPr>
                <w:rFonts w:ascii="Times New Roman" w:hAnsi="Times New Roman"/>
                <w:sz w:val="26"/>
                <w:szCs w:val="26"/>
              </w:rPr>
            </w:pPr>
            <w:r w:rsidRPr="00973957">
              <w:rPr>
                <w:rFonts w:ascii="Times New Roman" w:hAnsi="Times New Roman"/>
                <w:sz w:val="26"/>
                <w:szCs w:val="26"/>
              </w:rPr>
              <w:t>Nghị quyết này áp dụng đối với các cơ quan quản lý nhà nước về giáo dục và đào tạo trên địa bàn tỉnh, các cơ quan, đơn vị, cá nhân có liên quan được cơ quan có thẩm quyền giao tổ chức thực hiện các nhiệm vụ quy định tại khoản 1 Điều 1 Nghị quyết này.</w:t>
            </w:r>
          </w:p>
        </w:tc>
        <w:tc>
          <w:tcPr>
            <w:tcW w:w="4536" w:type="dxa"/>
            <w:gridSpan w:val="2"/>
            <w:vMerge w:val="restart"/>
          </w:tcPr>
          <w:p w:rsidR="00E77D59" w:rsidRPr="00973957" w:rsidRDefault="00E77D59" w:rsidP="00E77D59">
            <w:pPr>
              <w:spacing w:after="0"/>
              <w:jc w:val="both"/>
              <w:rPr>
                <w:rFonts w:ascii="Times New Roman" w:hAnsi="Times New Roman"/>
                <w:b/>
                <w:sz w:val="26"/>
                <w:szCs w:val="26"/>
              </w:rPr>
            </w:pPr>
            <w:r w:rsidRPr="00973957">
              <w:rPr>
                <w:rFonts w:ascii="Times New Roman" w:hAnsi="Times New Roman"/>
                <w:b/>
                <w:sz w:val="26"/>
                <w:szCs w:val="26"/>
              </w:rPr>
              <w:lastRenderedPageBreak/>
              <w:t>Điều 1. Phạm vi điều chỉnh và đối tượng áp dụng</w:t>
            </w:r>
          </w:p>
          <w:p w:rsidR="00E77D59" w:rsidRPr="00973957" w:rsidRDefault="00E77D59" w:rsidP="00E77D59">
            <w:pPr>
              <w:spacing w:after="0"/>
              <w:jc w:val="both"/>
              <w:rPr>
                <w:rFonts w:ascii="Times New Roman" w:hAnsi="Times New Roman"/>
                <w:sz w:val="26"/>
                <w:szCs w:val="26"/>
              </w:rPr>
            </w:pPr>
            <w:r w:rsidRPr="00973957">
              <w:rPr>
                <w:rFonts w:ascii="Times New Roman" w:hAnsi="Times New Roman"/>
                <w:sz w:val="26"/>
                <w:szCs w:val="26"/>
              </w:rPr>
              <w:t>1. Phạm vi điều chỉnh</w:t>
            </w:r>
          </w:p>
          <w:p w:rsidR="00E77D59" w:rsidRPr="00973957" w:rsidRDefault="00E77D59" w:rsidP="00E77D59">
            <w:pPr>
              <w:spacing w:after="0"/>
              <w:jc w:val="both"/>
              <w:rPr>
                <w:rFonts w:ascii="Times New Roman" w:hAnsi="Times New Roman"/>
                <w:sz w:val="26"/>
                <w:szCs w:val="26"/>
              </w:rPr>
            </w:pPr>
            <w:r w:rsidRPr="00973957">
              <w:rPr>
                <w:rFonts w:ascii="Times New Roman" w:hAnsi="Times New Roman"/>
                <w:sz w:val="26"/>
                <w:szCs w:val="26"/>
              </w:rPr>
              <w:t xml:space="preserve">a) Nội dung và mức chi thực hiện nhiệm vụ tổ chức các kỳ thi do Bộ Giáo dục và Đào tạo ra đề (kỳ thi chọn học sinh giỏi quốc gia trung học phổ thông các môn văn hóa, kỳ thi tốt nghiệp trung học phổ thông). </w:t>
            </w:r>
          </w:p>
          <w:p w:rsidR="00E77D59" w:rsidRPr="00973957" w:rsidRDefault="00E77D59" w:rsidP="00E77D59">
            <w:pPr>
              <w:spacing w:after="0"/>
              <w:jc w:val="both"/>
              <w:rPr>
                <w:rFonts w:ascii="Times New Roman" w:hAnsi="Times New Roman"/>
                <w:sz w:val="26"/>
                <w:szCs w:val="26"/>
              </w:rPr>
            </w:pPr>
            <w:r w:rsidRPr="00973957">
              <w:rPr>
                <w:rFonts w:ascii="Times New Roman" w:hAnsi="Times New Roman"/>
                <w:sz w:val="26"/>
                <w:szCs w:val="26"/>
              </w:rPr>
              <w:t xml:space="preserve"> </w:t>
            </w:r>
            <w:r w:rsidRPr="00973957">
              <w:rPr>
                <w:rFonts w:ascii="Times New Roman" w:hAnsi="Times New Roman"/>
                <w:sz w:val="26"/>
                <w:szCs w:val="26"/>
              </w:rPr>
              <w:t xml:space="preserve">b) Nội dung và mức chi bồi dưỡng tổ chức các kỳ thi do cấp tỉnh, cấp xã, cấp trường ra đề (kỳ thi chọn học sinh giỏi các môn văn hóa, kỳ thi chọn đội tuyển thi học sinh giỏi quốc gia trung học phổ thông, kỳ thi tuyển sinh đầu cấp). </w:t>
            </w:r>
          </w:p>
          <w:p w:rsidR="00E77D59" w:rsidRPr="00973957" w:rsidRDefault="00E77D59" w:rsidP="00E77D59">
            <w:pPr>
              <w:spacing w:after="0"/>
              <w:jc w:val="both"/>
              <w:rPr>
                <w:rFonts w:ascii="Times New Roman" w:hAnsi="Times New Roman"/>
                <w:sz w:val="26"/>
                <w:szCs w:val="26"/>
              </w:rPr>
            </w:pPr>
            <w:r w:rsidRPr="00973957">
              <w:rPr>
                <w:rFonts w:ascii="Times New Roman" w:hAnsi="Times New Roman"/>
                <w:sz w:val="26"/>
                <w:szCs w:val="26"/>
              </w:rPr>
              <w:t xml:space="preserve"> </w:t>
            </w:r>
            <w:r w:rsidRPr="00973957">
              <w:rPr>
                <w:rFonts w:ascii="Times New Roman" w:hAnsi="Times New Roman"/>
                <w:sz w:val="26"/>
                <w:szCs w:val="26"/>
              </w:rPr>
              <w:t xml:space="preserve">c) Nội dung và mức chi bồi dưỡng tổ chức các kỳ thi, cuộc thi, hội thi, hội thao, hội khỏe, giải thể thao trong lĩnh vực giáo </w:t>
            </w:r>
            <w:r w:rsidRPr="00973957">
              <w:rPr>
                <w:rFonts w:ascii="Times New Roman" w:hAnsi="Times New Roman"/>
                <w:sz w:val="26"/>
                <w:szCs w:val="26"/>
              </w:rPr>
              <w:lastRenderedPageBreak/>
              <w:t>dục và đào tạo trên địa bàn tỉnh theo quy định của Bộ Giáo dục và Đào tạo.</w:t>
            </w:r>
          </w:p>
          <w:p w:rsidR="00E77D59" w:rsidRPr="00973957" w:rsidRDefault="00E77D59" w:rsidP="00E77D59">
            <w:pPr>
              <w:spacing w:after="0"/>
              <w:jc w:val="both"/>
              <w:rPr>
                <w:rFonts w:ascii="Times New Roman" w:hAnsi="Times New Roman"/>
                <w:sz w:val="26"/>
                <w:szCs w:val="26"/>
              </w:rPr>
            </w:pPr>
            <w:r w:rsidRPr="00973957">
              <w:rPr>
                <w:rFonts w:ascii="Times New Roman" w:hAnsi="Times New Roman"/>
                <w:sz w:val="26"/>
                <w:szCs w:val="26"/>
              </w:rPr>
              <w:t xml:space="preserve"> </w:t>
            </w:r>
            <w:r w:rsidRPr="00973957">
              <w:rPr>
                <w:rFonts w:ascii="Times New Roman" w:hAnsi="Times New Roman"/>
                <w:sz w:val="26"/>
                <w:szCs w:val="26"/>
              </w:rPr>
              <w:t>d) Các nội dung chi khác thực hiện theo quy định tại Thông tư số 69/2021/TT-BTC ngày 11 tháng 8 năm 2021 của Bộ trưởng Bộ Tài chính hướng dẫn quản lý kinh phí chuẩn bị, tổ chức và tham dự các kỳ thi áp dụng đối với giáo dục phổ thông.</w:t>
            </w:r>
          </w:p>
          <w:p w:rsidR="00E77D59" w:rsidRPr="00973957" w:rsidRDefault="00E77D59" w:rsidP="00E77D59">
            <w:pPr>
              <w:spacing w:after="0"/>
              <w:jc w:val="both"/>
              <w:rPr>
                <w:rFonts w:ascii="Times New Roman" w:hAnsi="Times New Roman"/>
                <w:sz w:val="26"/>
                <w:szCs w:val="26"/>
              </w:rPr>
            </w:pPr>
            <w:r w:rsidRPr="00973957">
              <w:rPr>
                <w:rFonts w:ascii="Times New Roman" w:hAnsi="Times New Roman"/>
                <w:sz w:val="26"/>
                <w:szCs w:val="26"/>
              </w:rPr>
              <w:t xml:space="preserve">2. Đối tượng áp dụng </w:t>
            </w:r>
          </w:p>
          <w:p w:rsidR="00E77D59" w:rsidRPr="00973957" w:rsidRDefault="00E77D59" w:rsidP="00E77D59">
            <w:pPr>
              <w:spacing w:after="0"/>
              <w:jc w:val="both"/>
              <w:rPr>
                <w:rFonts w:ascii="Times New Roman" w:hAnsi="Times New Roman"/>
                <w:sz w:val="26"/>
                <w:szCs w:val="26"/>
              </w:rPr>
            </w:pPr>
            <w:r w:rsidRPr="00973957">
              <w:rPr>
                <w:rFonts w:ascii="Times New Roman" w:hAnsi="Times New Roman"/>
                <w:sz w:val="26"/>
                <w:szCs w:val="26"/>
              </w:rPr>
              <w:t xml:space="preserve"> </w:t>
            </w:r>
            <w:r w:rsidRPr="00973957">
              <w:rPr>
                <w:rFonts w:ascii="Times New Roman" w:hAnsi="Times New Roman"/>
                <w:sz w:val="26"/>
                <w:szCs w:val="26"/>
              </w:rPr>
              <w:t>Nghị quyết này áp dụng đối với các cơ quan quản lý nhà nước về giáo dục và đào tạo trên địa bàn tỉnh, các cơ quan, đơn vị, cá nhân có liên quan được cơ quan có thẩm quyền giao tổ chức thực hiện các nhiệm vụ quy định tại khoản 1 Điều 1 Nghị quyết này.</w:t>
            </w:r>
          </w:p>
        </w:tc>
        <w:tc>
          <w:tcPr>
            <w:tcW w:w="2409" w:type="dxa"/>
            <w:gridSpan w:val="2"/>
            <w:vMerge w:val="restart"/>
          </w:tcPr>
          <w:p w:rsidR="00973957" w:rsidRPr="00973957" w:rsidRDefault="00973957" w:rsidP="00973957">
            <w:pPr>
              <w:spacing w:after="0"/>
              <w:jc w:val="both"/>
              <w:rPr>
                <w:rFonts w:ascii="Times New Roman" w:hAnsi="Times New Roman"/>
                <w:sz w:val="26"/>
                <w:szCs w:val="26"/>
              </w:rPr>
            </w:pPr>
            <w:r>
              <w:rPr>
                <w:rFonts w:ascii="Times New Roman" w:hAnsi="Times New Roman"/>
                <w:sz w:val="26"/>
                <w:szCs w:val="26"/>
              </w:rPr>
              <w:lastRenderedPageBreak/>
              <w:t xml:space="preserve">- </w:t>
            </w:r>
            <w:r w:rsidRPr="00973957">
              <w:rPr>
                <w:rFonts w:ascii="Times New Roman" w:hAnsi="Times New Roman"/>
                <w:sz w:val="26"/>
                <w:szCs w:val="26"/>
              </w:rPr>
              <w:t>K</w:t>
            </w:r>
            <w:r w:rsidRPr="00973957">
              <w:rPr>
                <w:rFonts w:ascii="Times New Roman" w:hAnsi="Times New Roman"/>
                <w:sz w:val="26"/>
                <w:szCs w:val="26"/>
              </w:rPr>
              <w:t>ế thừ</w:t>
            </w:r>
            <w:r w:rsidRPr="00973957">
              <w:rPr>
                <w:rFonts w:ascii="Times New Roman" w:hAnsi="Times New Roman"/>
                <w:sz w:val="26"/>
                <w:szCs w:val="26"/>
              </w:rPr>
              <w:t>a các nội dung của Nghị quyết số 10/2023/NQ-HĐND ngày 21/7/2023 của HĐND tỉnh Khánh Hòa (được sửa đổi bởi Nghị quyết số 18/2024/NQ-HĐND ngày 12/12/2024 của HĐND tỉnh Khánh Hòa)</w:t>
            </w:r>
          </w:p>
          <w:p w:rsidR="00973957" w:rsidRDefault="00973957" w:rsidP="00973957">
            <w:pPr>
              <w:spacing w:after="0"/>
              <w:jc w:val="both"/>
              <w:rPr>
                <w:rFonts w:ascii="Times New Roman" w:hAnsi="Times New Roman"/>
                <w:sz w:val="26"/>
                <w:szCs w:val="26"/>
              </w:rPr>
            </w:pPr>
            <w:r w:rsidRPr="00973957">
              <w:rPr>
                <w:rFonts w:ascii="Times New Roman" w:hAnsi="Times New Roman"/>
                <w:sz w:val="26"/>
                <w:szCs w:val="26"/>
              </w:rPr>
              <w:t xml:space="preserve">- Nội dung sửa đổi, bổ sung: </w:t>
            </w:r>
          </w:p>
          <w:p w:rsidR="00E77D59" w:rsidRDefault="00973957" w:rsidP="00973957">
            <w:pPr>
              <w:spacing w:after="0"/>
              <w:jc w:val="both"/>
              <w:rPr>
                <w:rFonts w:ascii="Times New Roman" w:hAnsi="Times New Roman"/>
                <w:sz w:val="26"/>
                <w:szCs w:val="26"/>
              </w:rPr>
            </w:pPr>
            <w:r>
              <w:rPr>
                <w:rFonts w:ascii="Times New Roman" w:hAnsi="Times New Roman"/>
                <w:sz w:val="26"/>
                <w:szCs w:val="26"/>
              </w:rPr>
              <w:t>+ Cấp huyện sửa đổi thành cấp xã</w:t>
            </w:r>
          </w:p>
          <w:p w:rsidR="00973957" w:rsidRDefault="00973957" w:rsidP="00973957">
            <w:pPr>
              <w:spacing w:after="0"/>
              <w:jc w:val="both"/>
              <w:rPr>
                <w:rFonts w:ascii="Times New Roman" w:hAnsi="Times New Roman"/>
                <w:sz w:val="26"/>
                <w:szCs w:val="26"/>
              </w:rPr>
            </w:pPr>
            <w:r>
              <w:rPr>
                <w:rFonts w:ascii="Times New Roman" w:hAnsi="Times New Roman"/>
                <w:sz w:val="26"/>
                <w:szCs w:val="26"/>
              </w:rPr>
              <w:t>+ K</w:t>
            </w:r>
            <w:r w:rsidRPr="00973957">
              <w:rPr>
                <w:rFonts w:ascii="Times New Roman" w:hAnsi="Times New Roman"/>
                <w:sz w:val="26"/>
                <w:szCs w:val="26"/>
              </w:rPr>
              <w:t xml:space="preserve">ỳ thi chọn học sinh giỏi các môn </w:t>
            </w:r>
            <w:r w:rsidRPr="00973957">
              <w:rPr>
                <w:rFonts w:ascii="Times New Roman" w:hAnsi="Times New Roman"/>
                <w:sz w:val="26"/>
                <w:szCs w:val="26"/>
              </w:rPr>
              <w:lastRenderedPageBreak/>
              <w:t>văn hóa, kỳ thi chọn đội tuyển thi học sinh giỏi quốc gia trung học phổ thông, kỳ thi tuyển sinh đầu cấp</w:t>
            </w:r>
            <w:r>
              <w:rPr>
                <w:rFonts w:ascii="Times New Roman" w:hAnsi="Times New Roman"/>
                <w:sz w:val="26"/>
                <w:szCs w:val="26"/>
              </w:rPr>
              <w:t xml:space="preserve">:  theo </w:t>
            </w:r>
            <w:r w:rsidRPr="00973957">
              <w:rPr>
                <w:rFonts w:ascii="Times New Roman" w:hAnsi="Times New Roman"/>
                <w:sz w:val="26"/>
                <w:szCs w:val="26"/>
              </w:rPr>
              <w:t xml:space="preserve">quy định tại </w:t>
            </w:r>
            <w:r>
              <w:rPr>
                <w:rFonts w:ascii="Times New Roman" w:hAnsi="Times New Roman"/>
                <w:sz w:val="26"/>
                <w:szCs w:val="26"/>
              </w:rPr>
              <w:t xml:space="preserve">khoản 1 Điều 1 </w:t>
            </w:r>
            <w:r w:rsidRPr="00973957">
              <w:rPr>
                <w:rFonts w:ascii="Times New Roman" w:hAnsi="Times New Roman"/>
                <w:sz w:val="26"/>
                <w:szCs w:val="26"/>
              </w:rPr>
              <w:t>Thông tư số 69/2021/TT-BTC ngày 11 tháng 8 năm 2021 của Bộ trưởng Bộ Tài chính</w:t>
            </w:r>
            <w:r>
              <w:rPr>
                <w:rFonts w:ascii="Times New Roman" w:hAnsi="Times New Roman"/>
                <w:sz w:val="26"/>
                <w:szCs w:val="26"/>
              </w:rPr>
              <w:t>.</w:t>
            </w:r>
          </w:p>
          <w:p w:rsidR="00973957" w:rsidRPr="00973957" w:rsidRDefault="00973957" w:rsidP="00973957">
            <w:pPr>
              <w:spacing w:after="0"/>
              <w:jc w:val="both"/>
              <w:rPr>
                <w:rFonts w:ascii="Times New Roman" w:hAnsi="Times New Roman"/>
                <w:sz w:val="26"/>
                <w:szCs w:val="26"/>
              </w:rPr>
            </w:pPr>
            <w:r>
              <w:rPr>
                <w:rFonts w:ascii="Times New Roman" w:hAnsi="Times New Roman"/>
                <w:sz w:val="26"/>
                <w:szCs w:val="26"/>
              </w:rPr>
              <w:t xml:space="preserve">+ </w:t>
            </w:r>
            <w:r w:rsidRPr="00973957">
              <w:rPr>
                <w:rFonts w:ascii="Times New Roman" w:hAnsi="Times New Roman"/>
                <w:sz w:val="26"/>
                <w:szCs w:val="26"/>
              </w:rPr>
              <w:t>Nội dung và mức chi bồi dưỡng tổ chức các kỳ thi, cuộc thi, hội thi, hội thao, hội khỏe, giải thể thao trong lĩnh vực giáo dục và đào tạo trên địa bàn tỉnh theo quy định của Bộ Giáo dục và Đào tạo</w:t>
            </w:r>
            <w:r>
              <w:rPr>
                <w:rFonts w:ascii="Times New Roman" w:hAnsi="Times New Roman"/>
                <w:sz w:val="26"/>
                <w:szCs w:val="26"/>
              </w:rPr>
              <w:t xml:space="preserve">: sửa đổi phù hợp với quy định </w:t>
            </w:r>
            <w:r w:rsidRPr="00973957">
              <w:rPr>
                <w:rFonts w:ascii="Times New Roman" w:hAnsi="Times New Roman"/>
                <w:sz w:val="26"/>
                <w:szCs w:val="26"/>
              </w:rPr>
              <w:t xml:space="preserve">khoản </w:t>
            </w:r>
            <w:r>
              <w:rPr>
                <w:rFonts w:ascii="Times New Roman" w:hAnsi="Times New Roman"/>
                <w:sz w:val="26"/>
                <w:szCs w:val="26"/>
              </w:rPr>
              <w:t>2</w:t>
            </w:r>
            <w:r w:rsidRPr="00973957">
              <w:rPr>
                <w:rFonts w:ascii="Times New Roman" w:hAnsi="Times New Roman"/>
                <w:sz w:val="26"/>
                <w:szCs w:val="26"/>
              </w:rPr>
              <w:t xml:space="preserve"> Điều 1 Thông tư số </w:t>
            </w:r>
            <w:r w:rsidRPr="00973957">
              <w:rPr>
                <w:rFonts w:ascii="Times New Roman" w:hAnsi="Times New Roman"/>
                <w:sz w:val="26"/>
                <w:szCs w:val="26"/>
              </w:rPr>
              <w:lastRenderedPageBreak/>
              <w:t>69/2021/TT-BTC ngày 11 tháng 8 năm 2021 của Bộ trưởng Bộ Tài chính.</w:t>
            </w:r>
          </w:p>
        </w:tc>
      </w:tr>
      <w:tr w:rsidR="00E77D59" w:rsidRPr="00973957" w:rsidTr="00651318">
        <w:trPr>
          <w:gridAfter w:val="1"/>
          <w:wAfter w:w="11" w:type="dxa"/>
        </w:trPr>
        <w:tc>
          <w:tcPr>
            <w:tcW w:w="2972" w:type="dxa"/>
          </w:tcPr>
          <w:p w:rsidR="00E77D59" w:rsidRPr="00973957" w:rsidRDefault="00E77D59" w:rsidP="000C0614">
            <w:pPr>
              <w:spacing w:after="0"/>
              <w:jc w:val="both"/>
              <w:rPr>
                <w:rFonts w:ascii="Times New Roman" w:hAnsi="Times New Roman"/>
                <w:sz w:val="26"/>
                <w:szCs w:val="26"/>
              </w:rPr>
            </w:pPr>
            <w:r w:rsidRPr="00973957">
              <w:rPr>
                <w:rFonts w:ascii="Times New Roman" w:hAnsi="Times New Roman"/>
                <w:sz w:val="26"/>
                <w:szCs w:val="26"/>
              </w:rPr>
              <w:lastRenderedPageBreak/>
              <w:t>Nghị quyết số 09/2022/NQ-HĐND ngày 20/7/2022 của HĐND tỉnh Ninh Thuận</w:t>
            </w:r>
          </w:p>
        </w:tc>
        <w:tc>
          <w:tcPr>
            <w:tcW w:w="4962" w:type="dxa"/>
          </w:tcPr>
          <w:p w:rsidR="007B25F4" w:rsidRPr="00973957" w:rsidRDefault="007B25F4" w:rsidP="007B25F4">
            <w:pPr>
              <w:spacing w:after="0"/>
              <w:jc w:val="both"/>
              <w:rPr>
                <w:rFonts w:ascii="Times New Roman" w:hAnsi="Times New Roman"/>
                <w:b/>
                <w:sz w:val="26"/>
                <w:szCs w:val="26"/>
              </w:rPr>
            </w:pPr>
            <w:r w:rsidRPr="00973957">
              <w:rPr>
                <w:rFonts w:ascii="Times New Roman" w:hAnsi="Times New Roman"/>
                <w:b/>
                <w:sz w:val="26"/>
                <w:szCs w:val="26"/>
              </w:rPr>
              <w:t>Điều 1. Phạm vi điều chỉnh và đối tượng áp dụng</w:t>
            </w:r>
          </w:p>
          <w:p w:rsidR="007B25F4" w:rsidRPr="00973957" w:rsidRDefault="007B25F4" w:rsidP="007B25F4">
            <w:pPr>
              <w:spacing w:after="0"/>
              <w:jc w:val="both"/>
              <w:rPr>
                <w:rFonts w:ascii="Times New Roman" w:hAnsi="Times New Roman"/>
                <w:sz w:val="26"/>
                <w:szCs w:val="26"/>
              </w:rPr>
            </w:pPr>
            <w:r w:rsidRPr="00973957">
              <w:rPr>
                <w:rFonts w:ascii="Times New Roman" w:hAnsi="Times New Roman"/>
                <w:sz w:val="26"/>
                <w:szCs w:val="26"/>
              </w:rPr>
              <w:t>1. Phạm vi điều chỉnh: Nghị quyết này quy định mức tiền công cụ thể cho từng chức danh là thành viên thực hiện các nhiệm vụ thi và nội dung, mức chi để tổ chức các kỳ thi, cuộc thi, hội thi trong lĩnh vực giáo dục - đào tạo trên địa bàn tỉnh Ninh Thuận.</w:t>
            </w:r>
          </w:p>
          <w:p w:rsidR="00E77D59" w:rsidRPr="00973957" w:rsidRDefault="007B25F4" w:rsidP="007B25F4">
            <w:pPr>
              <w:spacing w:after="0"/>
              <w:jc w:val="both"/>
              <w:rPr>
                <w:rFonts w:ascii="Times New Roman" w:hAnsi="Times New Roman"/>
                <w:sz w:val="26"/>
                <w:szCs w:val="26"/>
              </w:rPr>
            </w:pPr>
            <w:r w:rsidRPr="00973957">
              <w:rPr>
                <w:rFonts w:ascii="Times New Roman" w:hAnsi="Times New Roman"/>
                <w:sz w:val="26"/>
                <w:szCs w:val="26"/>
              </w:rPr>
              <w:t>2. Đối tượng áp dụng: Các tổ chức, cá nhân có liên quan đến hoạt động được quy định tại khoản 1 Điều này.</w:t>
            </w:r>
          </w:p>
        </w:tc>
        <w:tc>
          <w:tcPr>
            <w:tcW w:w="4536" w:type="dxa"/>
            <w:gridSpan w:val="2"/>
            <w:vMerge/>
          </w:tcPr>
          <w:p w:rsidR="00E77D59" w:rsidRPr="00973957" w:rsidRDefault="00E77D59" w:rsidP="000C0614">
            <w:pPr>
              <w:spacing w:after="0"/>
              <w:jc w:val="both"/>
              <w:rPr>
                <w:rFonts w:ascii="Times New Roman" w:hAnsi="Times New Roman"/>
                <w:sz w:val="26"/>
                <w:szCs w:val="26"/>
              </w:rPr>
            </w:pPr>
          </w:p>
        </w:tc>
        <w:tc>
          <w:tcPr>
            <w:tcW w:w="2409" w:type="dxa"/>
            <w:gridSpan w:val="2"/>
            <w:vMerge/>
          </w:tcPr>
          <w:p w:rsidR="00E77D59" w:rsidRPr="00973957" w:rsidRDefault="00E77D59" w:rsidP="000C0614">
            <w:pPr>
              <w:spacing w:after="0"/>
              <w:jc w:val="both"/>
              <w:rPr>
                <w:rFonts w:ascii="Times New Roman" w:hAnsi="Times New Roman"/>
                <w:sz w:val="26"/>
                <w:szCs w:val="26"/>
              </w:rPr>
            </w:pPr>
          </w:p>
        </w:tc>
      </w:tr>
      <w:tr w:rsidR="00973957" w:rsidRPr="00973957" w:rsidTr="00651318">
        <w:trPr>
          <w:gridAfter w:val="1"/>
          <w:wAfter w:w="11" w:type="dxa"/>
        </w:trPr>
        <w:tc>
          <w:tcPr>
            <w:tcW w:w="2972" w:type="dxa"/>
          </w:tcPr>
          <w:p w:rsidR="00973957" w:rsidRPr="00973957" w:rsidRDefault="00973957" w:rsidP="00E77D59">
            <w:pPr>
              <w:spacing w:after="0"/>
              <w:jc w:val="both"/>
              <w:rPr>
                <w:rFonts w:ascii="Times New Roman" w:hAnsi="Times New Roman"/>
                <w:sz w:val="26"/>
                <w:szCs w:val="26"/>
              </w:rPr>
            </w:pPr>
            <w:r w:rsidRPr="00973957">
              <w:rPr>
                <w:rFonts w:ascii="Times New Roman" w:hAnsi="Times New Roman"/>
                <w:sz w:val="26"/>
                <w:szCs w:val="26"/>
              </w:rPr>
              <w:lastRenderedPageBreak/>
              <w:t>Nghị quyết số 10/2023/NQ-HĐND ngày 21/7/2023 của HĐND tỉnh Khánh Hòa (được sửa đổi bởi Nghị quyết số 18/2024/NQ-HĐND ngày 12/12/2024 của HĐND tỉnh Khánh Hòa)</w:t>
            </w:r>
          </w:p>
        </w:tc>
        <w:tc>
          <w:tcPr>
            <w:tcW w:w="4962" w:type="dxa"/>
          </w:tcPr>
          <w:p w:rsidR="00973957" w:rsidRPr="00973957" w:rsidRDefault="00973957" w:rsidP="006C5C53">
            <w:pPr>
              <w:spacing w:after="0"/>
              <w:jc w:val="both"/>
              <w:rPr>
                <w:rFonts w:ascii="Times New Roman" w:hAnsi="Times New Roman"/>
                <w:b/>
                <w:sz w:val="26"/>
                <w:szCs w:val="26"/>
              </w:rPr>
            </w:pPr>
            <w:r w:rsidRPr="00973957">
              <w:rPr>
                <w:rFonts w:ascii="Times New Roman" w:hAnsi="Times New Roman"/>
                <w:b/>
                <w:sz w:val="26"/>
                <w:szCs w:val="26"/>
              </w:rPr>
              <w:t xml:space="preserve">Điều 2. Nội dung và mức chi </w:t>
            </w:r>
          </w:p>
          <w:p w:rsidR="00973957" w:rsidRPr="00973957" w:rsidRDefault="00973957" w:rsidP="006C5C53">
            <w:pPr>
              <w:spacing w:after="0"/>
              <w:jc w:val="both"/>
              <w:rPr>
                <w:rFonts w:ascii="Times New Roman" w:hAnsi="Times New Roman"/>
                <w:sz w:val="26"/>
                <w:szCs w:val="26"/>
              </w:rPr>
            </w:pPr>
            <w:r w:rsidRPr="00973957">
              <w:rPr>
                <w:rFonts w:ascii="Times New Roman" w:hAnsi="Times New Roman"/>
                <w:sz w:val="26"/>
                <w:szCs w:val="26"/>
              </w:rPr>
              <w:t>Nội dung và mức chi tổ chức các kỳ thi, cuộc thi, hội thi theo Phụ lục I, II, III, IV kèm theo Nghị quyết này.</w:t>
            </w:r>
          </w:p>
        </w:tc>
        <w:tc>
          <w:tcPr>
            <w:tcW w:w="4536" w:type="dxa"/>
            <w:gridSpan w:val="2"/>
            <w:vMerge w:val="restart"/>
          </w:tcPr>
          <w:p w:rsidR="00973957" w:rsidRPr="00973957" w:rsidRDefault="00973957" w:rsidP="00E77D59">
            <w:pPr>
              <w:spacing w:after="0"/>
              <w:jc w:val="both"/>
              <w:rPr>
                <w:rFonts w:ascii="Times New Roman" w:hAnsi="Times New Roman"/>
                <w:b/>
                <w:sz w:val="26"/>
                <w:szCs w:val="26"/>
              </w:rPr>
            </w:pPr>
            <w:r w:rsidRPr="00973957">
              <w:rPr>
                <w:rFonts w:ascii="Times New Roman" w:hAnsi="Times New Roman"/>
                <w:b/>
                <w:sz w:val="26"/>
                <w:szCs w:val="26"/>
              </w:rPr>
              <w:t xml:space="preserve">Điều 2. Nội dung và mức chi </w:t>
            </w:r>
          </w:p>
          <w:p w:rsidR="00973957" w:rsidRPr="00973957" w:rsidRDefault="00973957" w:rsidP="00344C8F">
            <w:pPr>
              <w:spacing w:after="0"/>
              <w:jc w:val="both"/>
              <w:rPr>
                <w:rFonts w:ascii="Times New Roman" w:hAnsi="Times New Roman"/>
                <w:sz w:val="26"/>
                <w:szCs w:val="26"/>
              </w:rPr>
            </w:pPr>
            <w:r w:rsidRPr="00973957">
              <w:rPr>
                <w:rFonts w:ascii="Times New Roman" w:hAnsi="Times New Roman"/>
                <w:sz w:val="26"/>
                <w:szCs w:val="26"/>
              </w:rPr>
              <w:t xml:space="preserve"> </w:t>
            </w:r>
            <w:r w:rsidRPr="00973957">
              <w:rPr>
                <w:rFonts w:ascii="Times New Roman" w:hAnsi="Times New Roman"/>
                <w:sz w:val="26"/>
                <w:szCs w:val="26"/>
              </w:rPr>
              <w:t xml:space="preserve">Nội dung và mức chi tổ chức các kỳ thi, cuộc thi, hội thi theo Phụ lục </w:t>
            </w:r>
            <w:r>
              <w:rPr>
                <w:rFonts w:ascii="Times New Roman" w:hAnsi="Times New Roman"/>
                <w:sz w:val="26"/>
                <w:szCs w:val="26"/>
              </w:rPr>
              <w:t>I</w:t>
            </w:r>
            <w:r w:rsidR="00344C8F">
              <w:rPr>
                <w:rFonts w:ascii="Times New Roman" w:hAnsi="Times New Roman"/>
                <w:sz w:val="26"/>
                <w:szCs w:val="26"/>
              </w:rPr>
              <w:t>, II</w:t>
            </w:r>
            <w:r w:rsidRPr="00973957">
              <w:rPr>
                <w:rFonts w:ascii="Times New Roman" w:hAnsi="Times New Roman"/>
                <w:sz w:val="26"/>
                <w:szCs w:val="26"/>
              </w:rPr>
              <w:t xml:space="preserve">, </w:t>
            </w:r>
            <w:r w:rsidR="00344C8F">
              <w:rPr>
                <w:rFonts w:ascii="Times New Roman" w:hAnsi="Times New Roman"/>
                <w:sz w:val="26"/>
                <w:szCs w:val="26"/>
              </w:rPr>
              <w:t>III</w:t>
            </w:r>
            <w:r w:rsidRPr="00973957">
              <w:rPr>
                <w:rFonts w:ascii="Times New Roman" w:hAnsi="Times New Roman"/>
                <w:sz w:val="26"/>
                <w:szCs w:val="26"/>
              </w:rPr>
              <w:t xml:space="preserve">, </w:t>
            </w:r>
            <w:r w:rsidR="00344C8F">
              <w:rPr>
                <w:rFonts w:ascii="Times New Roman" w:hAnsi="Times New Roman"/>
                <w:sz w:val="26"/>
                <w:szCs w:val="26"/>
              </w:rPr>
              <w:t>III</w:t>
            </w:r>
            <w:r w:rsidRPr="00973957">
              <w:rPr>
                <w:rFonts w:ascii="Times New Roman" w:hAnsi="Times New Roman"/>
                <w:sz w:val="26"/>
                <w:szCs w:val="26"/>
              </w:rPr>
              <w:t xml:space="preserve"> kèm theo Nghị quyết này.</w:t>
            </w:r>
          </w:p>
        </w:tc>
        <w:tc>
          <w:tcPr>
            <w:tcW w:w="2409" w:type="dxa"/>
            <w:gridSpan w:val="2"/>
            <w:vMerge w:val="restart"/>
          </w:tcPr>
          <w:p w:rsidR="00973957" w:rsidRDefault="00344C8F" w:rsidP="00E77D59">
            <w:pPr>
              <w:spacing w:after="0"/>
              <w:jc w:val="both"/>
              <w:rPr>
                <w:rFonts w:ascii="Times New Roman" w:hAnsi="Times New Roman"/>
                <w:sz w:val="26"/>
                <w:szCs w:val="26"/>
              </w:rPr>
            </w:pPr>
            <w:r w:rsidRPr="00344C8F">
              <w:rPr>
                <w:rFonts w:ascii="Times New Roman" w:hAnsi="Times New Roman"/>
                <w:sz w:val="26"/>
                <w:szCs w:val="26"/>
              </w:rPr>
              <w:t>- Kế thừa các nội dung của Nghị quyết số 10/2023/NQ-HĐND ngày 21/7/2023 của HĐND tỉnh Khánh Hòa (được sửa đổi bởi Nghị quyết số 18/2024/NQ-HĐND ngày 12/12/2024 của HĐND tỉnh Khánh Hòa)</w:t>
            </w:r>
          </w:p>
          <w:p w:rsidR="00344C8F" w:rsidRPr="00973957" w:rsidRDefault="00344C8F" w:rsidP="00975D82">
            <w:pPr>
              <w:spacing w:after="0"/>
              <w:jc w:val="both"/>
              <w:rPr>
                <w:rFonts w:ascii="Times New Roman" w:hAnsi="Times New Roman"/>
                <w:sz w:val="26"/>
                <w:szCs w:val="26"/>
              </w:rPr>
            </w:pPr>
            <w:r w:rsidRPr="00344C8F">
              <w:rPr>
                <w:rFonts w:ascii="Times New Roman" w:hAnsi="Times New Roman"/>
                <w:sz w:val="26"/>
                <w:szCs w:val="26"/>
              </w:rPr>
              <w:t>- Nội dung sửa đổi, bổ sung:</w:t>
            </w:r>
            <w:r>
              <w:rPr>
                <w:rFonts w:ascii="Times New Roman" w:hAnsi="Times New Roman"/>
                <w:sz w:val="26"/>
                <w:szCs w:val="26"/>
              </w:rPr>
              <w:t xml:space="preserve"> thay đổi mức chi</w:t>
            </w:r>
            <w:r w:rsidR="00FD58F6">
              <w:rPr>
                <w:rFonts w:ascii="Times New Roman" w:hAnsi="Times New Roman"/>
                <w:sz w:val="26"/>
                <w:szCs w:val="26"/>
              </w:rPr>
              <w:t xml:space="preserve"> từng chức danh, nội dung theo quy định tại </w:t>
            </w:r>
            <w:r w:rsidR="00975D82" w:rsidRPr="00975D82">
              <w:rPr>
                <w:rFonts w:ascii="Times New Roman" w:hAnsi="Times New Roman"/>
                <w:sz w:val="26"/>
                <w:szCs w:val="26"/>
              </w:rPr>
              <w:t xml:space="preserve">Thông tư số 100/2025/TT-BTC ngày 28/10/2025 của Bộ trưởng Bộ Tài chính </w:t>
            </w:r>
            <w:r w:rsidR="00975D82" w:rsidRPr="00975D82">
              <w:rPr>
                <w:rFonts w:ascii="Times New Roman" w:hAnsi="Times New Roman"/>
                <w:sz w:val="26"/>
                <w:szCs w:val="26"/>
              </w:rPr>
              <w:lastRenderedPageBreak/>
              <w:t xml:space="preserve">hướng dẫn việc lập dự toán, quản lý, sử dụng và quyết toán kinh phí dành cho công tác đào tạo, bồi dưỡng cán bộ, công chức, viên chức </w:t>
            </w:r>
            <w:r w:rsidR="00975D82">
              <w:rPr>
                <w:rFonts w:ascii="Times New Roman" w:hAnsi="Times New Roman"/>
                <w:sz w:val="26"/>
                <w:szCs w:val="26"/>
              </w:rPr>
              <w:t xml:space="preserve">và </w:t>
            </w:r>
            <w:bookmarkStart w:id="0" w:name="_GoBack"/>
            <w:bookmarkEnd w:id="0"/>
            <w:r w:rsidR="00FD58F6" w:rsidRPr="00FD58F6">
              <w:rPr>
                <w:rFonts w:ascii="Times New Roman" w:hAnsi="Times New Roman"/>
                <w:sz w:val="26"/>
                <w:szCs w:val="26"/>
              </w:rPr>
              <w:t>Thông tư số 004/2025/TT-BNV ngày 07/5/2025 của Bộ Nội vụ</w:t>
            </w:r>
            <w:r w:rsidR="00FD58F6">
              <w:rPr>
                <w:rFonts w:ascii="Times New Roman" w:hAnsi="Times New Roman"/>
                <w:sz w:val="26"/>
                <w:szCs w:val="26"/>
              </w:rPr>
              <w:t xml:space="preserve"> </w:t>
            </w:r>
            <w:r w:rsidR="00FD58F6" w:rsidRPr="00FD58F6">
              <w:rPr>
                <w:rFonts w:ascii="Times New Roman" w:hAnsi="Times New Roman"/>
                <w:sz w:val="26"/>
                <w:szCs w:val="26"/>
              </w:rPr>
              <w:t>quy định mức lương của chuyên gia tư vấn trong nước làm cơ sở cho việc xác định giá gói thầu do Bộ trưởng Bộ Nội vụ ban hành</w:t>
            </w:r>
            <w:r w:rsidR="00FD58F6">
              <w:rPr>
                <w:rFonts w:ascii="Times New Roman" w:hAnsi="Times New Roman"/>
                <w:sz w:val="26"/>
                <w:szCs w:val="26"/>
              </w:rPr>
              <w:t xml:space="preserve"> thay thế</w:t>
            </w:r>
            <w:r w:rsidR="00FD58F6">
              <w:t xml:space="preserve"> </w:t>
            </w:r>
            <w:r w:rsidR="00FD58F6" w:rsidRPr="00FD58F6">
              <w:rPr>
                <w:rFonts w:ascii="Times New Roman" w:hAnsi="Times New Roman"/>
                <w:sz w:val="26"/>
                <w:szCs w:val="26"/>
              </w:rPr>
              <w:t xml:space="preserve">Thông tư số 02/2015/TT-BLĐTBXH ngày 12/01/2015 của Bộ Lao động - Thương binh và Xã hội quy định mức lương đối </w:t>
            </w:r>
            <w:r w:rsidR="00FD58F6" w:rsidRPr="00FD58F6">
              <w:rPr>
                <w:rFonts w:ascii="Times New Roman" w:hAnsi="Times New Roman"/>
                <w:sz w:val="26"/>
                <w:szCs w:val="26"/>
              </w:rPr>
              <w:lastRenderedPageBreak/>
              <w:t>với chuyên gia tư vấn trong nước làm cơ sở dự toán gói thầu cung cấp dịch vụ tư vấn áp dụng hình thức hợp đồng theo thời gian sử dụng vốn nhà nước</w:t>
            </w:r>
            <w:r w:rsidR="00B56F71" w:rsidRPr="00B56F71">
              <w:rPr>
                <w:rFonts w:ascii="Times New Roman" w:hAnsi="Times New Roman"/>
                <w:color w:val="FF0000"/>
                <w:sz w:val="26"/>
                <w:szCs w:val="26"/>
              </w:rPr>
              <w:t xml:space="preserve"> </w:t>
            </w:r>
            <w:r>
              <w:rPr>
                <w:rFonts w:ascii="Times New Roman" w:hAnsi="Times New Roman"/>
                <w:sz w:val="26"/>
                <w:szCs w:val="26"/>
              </w:rPr>
              <w:t>(phụ lục kèm theo)</w:t>
            </w:r>
          </w:p>
        </w:tc>
      </w:tr>
      <w:tr w:rsidR="00973957" w:rsidRPr="00973957" w:rsidTr="00651318">
        <w:trPr>
          <w:gridAfter w:val="1"/>
          <w:wAfter w:w="11" w:type="dxa"/>
        </w:trPr>
        <w:tc>
          <w:tcPr>
            <w:tcW w:w="2972" w:type="dxa"/>
          </w:tcPr>
          <w:p w:rsidR="00973957" w:rsidRPr="00973957" w:rsidRDefault="00973957" w:rsidP="00E77D59">
            <w:pPr>
              <w:spacing w:after="0"/>
              <w:jc w:val="both"/>
              <w:rPr>
                <w:rFonts w:ascii="Times New Roman" w:hAnsi="Times New Roman"/>
                <w:sz w:val="26"/>
                <w:szCs w:val="26"/>
              </w:rPr>
            </w:pPr>
            <w:r w:rsidRPr="00973957">
              <w:rPr>
                <w:rFonts w:ascii="Times New Roman" w:hAnsi="Times New Roman"/>
                <w:sz w:val="26"/>
                <w:szCs w:val="26"/>
              </w:rPr>
              <w:t>Nghị quyết số 09/2022/NQ-HĐND ngày 20/7/2022 của HĐND tỉnh Ninh Thuận</w:t>
            </w:r>
          </w:p>
        </w:tc>
        <w:tc>
          <w:tcPr>
            <w:tcW w:w="4962" w:type="dxa"/>
          </w:tcPr>
          <w:p w:rsidR="00973957" w:rsidRPr="00973957" w:rsidRDefault="00973957" w:rsidP="007B25F4">
            <w:pPr>
              <w:spacing w:after="0"/>
              <w:jc w:val="both"/>
              <w:rPr>
                <w:rFonts w:ascii="Times New Roman" w:hAnsi="Times New Roman"/>
                <w:b/>
                <w:sz w:val="26"/>
                <w:szCs w:val="26"/>
              </w:rPr>
            </w:pPr>
            <w:r w:rsidRPr="00973957">
              <w:rPr>
                <w:rFonts w:ascii="Times New Roman" w:hAnsi="Times New Roman"/>
                <w:b/>
                <w:sz w:val="26"/>
                <w:szCs w:val="26"/>
              </w:rPr>
              <w:t>Điều 2. Nội dung, mức chi</w:t>
            </w:r>
          </w:p>
          <w:p w:rsidR="00973957" w:rsidRPr="00973957" w:rsidRDefault="00973957" w:rsidP="007B25F4">
            <w:pPr>
              <w:spacing w:after="0"/>
              <w:jc w:val="both"/>
              <w:rPr>
                <w:rFonts w:ascii="Times New Roman" w:hAnsi="Times New Roman"/>
                <w:sz w:val="26"/>
                <w:szCs w:val="26"/>
              </w:rPr>
            </w:pPr>
            <w:r w:rsidRPr="00973957">
              <w:rPr>
                <w:rFonts w:ascii="Times New Roman" w:hAnsi="Times New Roman"/>
                <w:sz w:val="26"/>
                <w:szCs w:val="26"/>
              </w:rPr>
              <w:t xml:space="preserve">1. Chi tổ chức các cuộc họp, hội nghị, hội thảo; chi đi công tác để thanh tra, kiểm tra trước, trong và sau khi thi; chi tiền ở, đi lại trong nước của những người tham gia công tác tổ chức thi và chấm thi. Chi tiền ăn, tiền giải khát giữa giờ cho Hội đồng/Ban ra đề thi, Hội đồng/Ban in sao đề thi, những người làm phách tập trung trong những ngày làm việc tập trung cách ly đối với các kỳ thi quy định tại khoản 1 Điều 1 Nghị quyết này: Thực hiện theo quy định tại Nghị quyết số 49/2017/NQ-HĐND ngày 11 tháng 12 năm 2017 của Hội </w:t>
            </w:r>
            <w:r w:rsidRPr="00973957">
              <w:rPr>
                <w:rFonts w:ascii="Times New Roman" w:hAnsi="Times New Roman"/>
                <w:sz w:val="26"/>
                <w:szCs w:val="26"/>
              </w:rPr>
              <w:lastRenderedPageBreak/>
              <w:t>đồng nhân dân tỉnh quy định một số chế độ công tác phí, chế độ chi hội nghị trên địa bàn tỉnh.</w:t>
            </w:r>
          </w:p>
          <w:p w:rsidR="00973957" w:rsidRPr="00973957" w:rsidRDefault="00973957" w:rsidP="007B25F4">
            <w:pPr>
              <w:spacing w:after="0"/>
              <w:jc w:val="both"/>
              <w:rPr>
                <w:rFonts w:ascii="Times New Roman" w:hAnsi="Times New Roman"/>
                <w:sz w:val="26"/>
                <w:szCs w:val="26"/>
              </w:rPr>
            </w:pPr>
            <w:r w:rsidRPr="00973957">
              <w:rPr>
                <w:rFonts w:ascii="Times New Roman" w:hAnsi="Times New Roman"/>
                <w:sz w:val="26"/>
                <w:szCs w:val="26"/>
              </w:rPr>
              <w:t>Trường hợp, thành viên các đoàn thanh tra là thanh tra chuyên ngành thì được hưởng chế độ bồi dưỡng quy định tại Quyết định số 12/2014/QĐ-TTg ngày 27 tháng 01 năm 2014 của Thủ tướng Chính phủ, Quy định chế độ bồi dưỡng đối với công chức làm công tác thanh tra chuyên ngành.</w:t>
            </w:r>
          </w:p>
          <w:p w:rsidR="00973957" w:rsidRPr="00973957" w:rsidRDefault="00973957" w:rsidP="007B25F4">
            <w:pPr>
              <w:spacing w:after="0"/>
              <w:jc w:val="both"/>
              <w:rPr>
                <w:rFonts w:ascii="Times New Roman" w:hAnsi="Times New Roman"/>
                <w:sz w:val="26"/>
                <w:szCs w:val="26"/>
              </w:rPr>
            </w:pPr>
            <w:r w:rsidRPr="00973957">
              <w:rPr>
                <w:rFonts w:ascii="Times New Roman" w:hAnsi="Times New Roman"/>
                <w:sz w:val="26"/>
                <w:szCs w:val="26"/>
              </w:rPr>
              <w:t>2. Chi tiền công cho các chức danh là thành viên thực hiện các nhiệm vụ thi và nội dung, mức chi các hoạt động tại khoản 1 Điều 1 Nghị quyết này (do cấp trung ương, cấp tỉnh tổ chức) (đính kèm Phụ lục I và Phụ lục II).</w:t>
            </w:r>
          </w:p>
          <w:p w:rsidR="00973957" w:rsidRPr="00973957" w:rsidRDefault="00973957" w:rsidP="007B25F4">
            <w:pPr>
              <w:spacing w:after="0"/>
              <w:jc w:val="both"/>
              <w:rPr>
                <w:rFonts w:ascii="Times New Roman" w:hAnsi="Times New Roman"/>
                <w:sz w:val="26"/>
                <w:szCs w:val="26"/>
              </w:rPr>
            </w:pPr>
            <w:r w:rsidRPr="00973957">
              <w:rPr>
                <w:rFonts w:ascii="Times New Roman" w:hAnsi="Times New Roman"/>
                <w:sz w:val="26"/>
                <w:szCs w:val="26"/>
              </w:rPr>
              <w:t>Riêng các kỳ thi học sinh giỏi và các kỳ thi, hội thi, cuộc thi khác của cấp huyện và các cơ sở giáo dục cấp tỉnh: Mức chi tối đa không quá 80% mức chi đối với cấp tỉnh; cấp trường thuộc cấp huyện có mức chi tối đa không quá 80% của cấp huyện.</w:t>
            </w:r>
          </w:p>
          <w:p w:rsidR="00973957" w:rsidRPr="00973957" w:rsidRDefault="00973957" w:rsidP="007B25F4">
            <w:pPr>
              <w:spacing w:after="0"/>
              <w:jc w:val="both"/>
              <w:rPr>
                <w:rFonts w:ascii="Times New Roman" w:hAnsi="Times New Roman"/>
                <w:sz w:val="26"/>
                <w:szCs w:val="26"/>
              </w:rPr>
            </w:pPr>
            <w:r w:rsidRPr="00973957">
              <w:rPr>
                <w:rFonts w:ascii="Times New Roman" w:hAnsi="Times New Roman"/>
                <w:sz w:val="26"/>
                <w:szCs w:val="26"/>
              </w:rPr>
              <w:t xml:space="preserve">3. Các nội dung chi khác thực hiện theo quy định tại Thông tư số 69/2021/TT-BTC ngày 11 tháng 8 năm 2021 của Bộ trưởng Bộ Tài chính hướng dẫn quản lý kinh phí chuẩn bị, tổ </w:t>
            </w:r>
            <w:r w:rsidRPr="00973957">
              <w:rPr>
                <w:rFonts w:ascii="Times New Roman" w:hAnsi="Times New Roman"/>
                <w:sz w:val="26"/>
                <w:szCs w:val="26"/>
              </w:rPr>
              <w:lastRenderedPageBreak/>
              <w:t>chức và tham dự các kỳ thi áp dụng đối với giáo dục phổ thông.</w:t>
            </w:r>
          </w:p>
          <w:p w:rsidR="00973957" w:rsidRPr="00973957" w:rsidRDefault="00973957" w:rsidP="007B25F4">
            <w:pPr>
              <w:spacing w:after="0"/>
              <w:jc w:val="both"/>
              <w:rPr>
                <w:rFonts w:ascii="Times New Roman" w:hAnsi="Times New Roman"/>
                <w:sz w:val="26"/>
                <w:szCs w:val="26"/>
              </w:rPr>
            </w:pPr>
            <w:r w:rsidRPr="00973957">
              <w:rPr>
                <w:rFonts w:ascii="Times New Roman" w:hAnsi="Times New Roman"/>
                <w:sz w:val="26"/>
                <w:szCs w:val="26"/>
              </w:rPr>
              <w:t>4. Các nội dung chi và mức chi này được thực hiện cho những ngày thực tế làm việc trong thời gian chính thức tổ chức các nhiệm vụ quy định tại khoản 1 Điều 1 Nghị quyết này. Trường hợp một người làm nhiều nhiệm vụ khác nhau trong một ngày thì chỉ hưởng một mức thù lao cao nhất.</w:t>
            </w:r>
          </w:p>
        </w:tc>
        <w:tc>
          <w:tcPr>
            <w:tcW w:w="4536" w:type="dxa"/>
            <w:gridSpan w:val="2"/>
            <w:vMerge/>
          </w:tcPr>
          <w:p w:rsidR="00973957" w:rsidRPr="00973957" w:rsidRDefault="00973957" w:rsidP="00E77D59">
            <w:pPr>
              <w:spacing w:after="0"/>
              <w:jc w:val="both"/>
              <w:rPr>
                <w:rFonts w:ascii="Times New Roman" w:hAnsi="Times New Roman"/>
                <w:sz w:val="26"/>
                <w:szCs w:val="26"/>
              </w:rPr>
            </w:pPr>
          </w:p>
        </w:tc>
        <w:tc>
          <w:tcPr>
            <w:tcW w:w="2409" w:type="dxa"/>
            <w:gridSpan w:val="2"/>
            <w:vMerge/>
          </w:tcPr>
          <w:p w:rsidR="00973957" w:rsidRPr="00973957" w:rsidRDefault="00973957" w:rsidP="00E77D59">
            <w:pPr>
              <w:spacing w:after="0"/>
              <w:jc w:val="both"/>
              <w:rPr>
                <w:rFonts w:ascii="Times New Roman" w:hAnsi="Times New Roman"/>
                <w:sz w:val="26"/>
                <w:szCs w:val="26"/>
              </w:rPr>
            </w:pPr>
          </w:p>
        </w:tc>
      </w:tr>
      <w:tr w:rsidR="00973957" w:rsidRPr="00973957" w:rsidTr="00651318">
        <w:trPr>
          <w:gridAfter w:val="1"/>
          <w:wAfter w:w="11" w:type="dxa"/>
        </w:trPr>
        <w:tc>
          <w:tcPr>
            <w:tcW w:w="2972" w:type="dxa"/>
          </w:tcPr>
          <w:p w:rsidR="00973957" w:rsidRPr="00973957" w:rsidRDefault="00973957" w:rsidP="00E77D59">
            <w:pPr>
              <w:spacing w:after="0"/>
              <w:jc w:val="both"/>
              <w:rPr>
                <w:rFonts w:ascii="Times New Roman" w:hAnsi="Times New Roman"/>
                <w:sz w:val="26"/>
                <w:szCs w:val="26"/>
              </w:rPr>
            </w:pPr>
            <w:r w:rsidRPr="00973957">
              <w:rPr>
                <w:rFonts w:ascii="Times New Roman" w:hAnsi="Times New Roman"/>
                <w:sz w:val="26"/>
                <w:szCs w:val="26"/>
              </w:rPr>
              <w:lastRenderedPageBreak/>
              <w:t>Nghị quyết số 10/2023/NQ-HĐND ngày 21/7/2023 của HĐND tỉnh Khánh Hòa (được sửa đổi bởi Nghị quyết số 18/2024/NQ-HĐND ngày 12/12/2024 của HĐND tỉnh Khánh Hòa)</w:t>
            </w:r>
          </w:p>
        </w:tc>
        <w:tc>
          <w:tcPr>
            <w:tcW w:w="4962" w:type="dxa"/>
          </w:tcPr>
          <w:p w:rsidR="00973957" w:rsidRPr="00973957" w:rsidRDefault="00973957" w:rsidP="006C5C53">
            <w:pPr>
              <w:spacing w:after="0"/>
              <w:jc w:val="both"/>
              <w:rPr>
                <w:rFonts w:ascii="Times New Roman" w:hAnsi="Times New Roman"/>
                <w:b/>
                <w:sz w:val="26"/>
                <w:szCs w:val="26"/>
              </w:rPr>
            </w:pPr>
            <w:r w:rsidRPr="00973957">
              <w:rPr>
                <w:rFonts w:ascii="Times New Roman" w:hAnsi="Times New Roman"/>
                <w:b/>
                <w:sz w:val="26"/>
                <w:szCs w:val="26"/>
              </w:rPr>
              <w:t>Điều 3. Nguồn kinh phí thực hiện</w:t>
            </w:r>
          </w:p>
          <w:p w:rsidR="00973957" w:rsidRPr="00973957" w:rsidRDefault="00973957" w:rsidP="006C5C53">
            <w:pPr>
              <w:spacing w:after="0"/>
              <w:jc w:val="both"/>
              <w:rPr>
                <w:rFonts w:ascii="Times New Roman" w:hAnsi="Times New Roman"/>
                <w:sz w:val="26"/>
                <w:szCs w:val="26"/>
              </w:rPr>
            </w:pPr>
            <w:r w:rsidRPr="00973957">
              <w:rPr>
                <w:rFonts w:ascii="Times New Roman" w:hAnsi="Times New Roman"/>
                <w:sz w:val="26"/>
                <w:szCs w:val="26"/>
              </w:rPr>
              <w:t>Nguồn ngân sách nhà nước (kinh phí sự nghiệp giáo dục) theo quy định của Luật Ngân sách nhà nước: ngân sách tỉnh đảm bảo kinh phí thực hiện các nhiệm vụ do Sở Giáo dục và Đào tạo chủ trì thực hiện; ngân sách huyện đảm bảo kinh phí thực hiện các nhiệm vụ do cấp huyện chủ trì thực hiện; các cơ quan, đơn vị đảm bảo kinh phí từ nguồn kinh phí giao hàng năm cân đối thực hiện nhiệm vụ do cơ quan đơn vị chủ trì thực hiện.</w:t>
            </w:r>
          </w:p>
        </w:tc>
        <w:tc>
          <w:tcPr>
            <w:tcW w:w="4536" w:type="dxa"/>
            <w:gridSpan w:val="2"/>
            <w:vMerge w:val="restart"/>
          </w:tcPr>
          <w:p w:rsidR="00973957" w:rsidRPr="00973957" w:rsidRDefault="00973957" w:rsidP="00E77D59">
            <w:pPr>
              <w:spacing w:after="0"/>
              <w:jc w:val="both"/>
              <w:rPr>
                <w:rFonts w:ascii="Times New Roman" w:hAnsi="Times New Roman"/>
                <w:b/>
                <w:sz w:val="26"/>
                <w:szCs w:val="26"/>
              </w:rPr>
            </w:pPr>
            <w:r w:rsidRPr="00973957">
              <w:rPr>
                <w:rFonts w:ascii="Times New Roman" w:hAnsi="Times New Roman"/>
                <w:b/>
                <w:sz w:val="26"/>
                <w:szCs w:val="26"/>
              </w:rPr>
              <w:t>Điều 3. Nguồn kinh phí thực hiện</w:t>
            </w:r>
          </w:p>
          <w:p w:rsidR="00973957" w:rsidRPr="00973957" w:rsidRDefault="00973957" w:rsidP="00E77D59">
            <w:pPr>
              <w:spacing w:after="0"/>
              <w:jc w:val="both"/>
              <w:rPr>
                <w:rFonts w:ascii="Times New Roman" w:hAnsi="Times New Roman"/>
                <w:sz w:val="26"/>
                <w:szCs w:val="26"/>
              </w:rPr>
            </w:pPr>
            <w:r w:rsidRPr="00973957">
              <w:rPr>
                <w:rFonts w:ascii="Times New Roman" w:hAnsi="Times New Roman"/>
                <w:sz w:val="26"/>
                <w:szCs w:val="26"/>
              </w:rPr>
              <w:t>Nguồn ngân sách nhà nước (kinh phí sự nghiệp giáo dục) theo quy định của Luật Ngân sách nhà nước: Ngân sách tỉnh đảm bảo kinh phí thực hiện các nhiệm vụ do Sở Giáo dục và Đào tạo chủ trì thực hiện; ngân sách xã đảm bảo kinh phí thực hiện các nhiệm vụ do cấp xã chủ trì thực hiệ</w:t>
            </w:r>
            <w:r w:rsidR="00344C8F">
              <w:rPr>
                <w:rFonts w:ascii="Times New Roman" w:hAnsi="Times New Roman"/>
                <w:sz w:val="26"/>
                <w:szCs w:val="26"/>
              </w:rPr>
              <w:t>n; c</w:t>
            </w:r>
            <w:r w:rsidRPr="00973957">
              <w:rPr>
                <w:rFonts w:ascii="Times New Roman" w:hAnsi="Times New Roman"/>
                <w:sz w:val="26"/>
                <w:szCs w:val="26"/>
              </w:rPr>
              <w:t>ác cơ quan, đơn vị đảm bảo kinh phí từ nguồn kinh phí giao hằng năm cân đối thực hiện nhiệm vụ do cơ quan đơn vị chủ trì thực hiện.</w:t>
            </w:r>
          </w:p>
        </w:tc>
        <w:tc>
          <w:tcPr>
            <w:tcW w:w="2409" w:type="dxa"/>
            <w:gridSpan w:val="2"/>
            <w:vMerge w:val="restart"/>
          </w:tcPr>
          <w:p w:rsidR="00344C8F" w:rsidRPr="00344C8F" w:rsidRDefault="00344C8F" w:rsidP="00344C8F">
            <w:pPr>
              <w:spacing w:after="0"/>
              <w:jc w:val="both"/>
              <w:rPr>
                <w:rFonts w:ascii="Times New Roman" w:hAnsi="Times New Roman"/>
                <w:sz w:val="26"/>
                <w:szCs w:val="26"/>
              </w:rPr>
            </w:pPr>
            <w:r w:rsidRPr="00344C8F">
              <w:rPr>
                <w:rFonts w:ascii="Times New Roman" w:hAnsi="Times New Roman"/>
                <w:sz w:val="26"/>
                <w:szCs w:val="26"/>
              </w:rPr>
              <w:t>- Kế thừa các nội dung của Nghị quyết số 10/2023/NQ-HĐND ngày 21/7/2023 của HĐND tỉnh Khánh Hòa (được sửa đổi bởi Nghị quyết số 18/2024/NQ-HĐND ngày 12/12/2024 của HĐND tỉnh Khánh Hòa)</w:t>
            </w:r>
          </w:p>
          <w:p w:rsidR="00344C8F" w:rsidRPr="00344C8F" w:rsidRDefault="00344C8F" w:rsidP="00344C8F">
            <w:pPr>
              <w:spacing w:after="0"/>
              <w:jc w:val="both"/>
              <w:rPr>
                <w:rFonts w:ascii="Times New Roman" w:hAnsi="Times New Roman"/>
                <w:sz w:val="26"/>
                <w:szCs w:val="26"/>
              </w:rPr>
            </w:pPr>
            <w:r w:rsidRPr="00344C8F">
              <w:rPr>
                <w:rFonts w:ascii="Times New Roman" w:hAnsi="Times New Roman"/>
                <w:sz w:val="26"/>
                <w:szCs w:val="26"/>
              </w:rPr>
              <w:t>- Nội dung sửa đổi, bổ sung: Cấp huyện sửa đổi thành cấp xã</w:t>
            </w:r>
          </w:p>
          <w:p w:rsidR="00973957" w:rsidRPr="00973957" w:rsidRDefault="00973957" w:rsidP="00E77D59">
            <w:pPr>
              <w:spacing w:after="0"/>
              <w:jc w:val="both"/>
              <w:rPr>
                <w:rFonts w:ascii="Times New Roman" w:hAnsi="Times New Roman"/>
                <w:sz w:val="26"/>
                <w:szCs w:val="26"/>
              </w:rPr>
            </w:pPr>
          </w:p>
        </w:tc>
      </w:tr>
      <w:tr w:rsidR="00973957" w:rsidRPr="00973957" w:rsidTr="00651318">
        <w:trPr>
          <w:gridAfter w:val="1"/>
          <w:wAfter w:w="11" w:type="dxa"/>
        </w:trPr>
        <w:tc>
          <w:tcPr>
            <w:tcW w:w="2972" w:type="dxa"/>
          </w:tcPr>
          <w:p w:rsidR="00973957" w:rsidRPr="00973957" w:rsidRDefault="00973957" w:rsidP="00E77D59">
            <w:pPr>
              <w:spacing w:after="0"/>
              <w:jc w:val="both"/>
              <w:rPr>
                <w:rFonts w:ascii="Times New Roman" w:hAnsi="Times New Roman"/>
                <w:sz w:val="26"/>
                <w:szCs w:val="26"/>
              </w:rPr>
            </w:pPr>
            <w:r w:rsidRPr="00973957">
              <w:rPr>
                <w:rFonts w:ascii="Times New Roman" w:hAnsi="Times New Roman"/>
                <w:sz w:val="26"/>
                <w:szCs w:val="26"/>
              </w:rPr>
              <w:t>Nghị quyết số 09/2022/NQ-HĐND ngày 20/7/2022 của HĐND tỉnh Ninh Thuận</w:t>
            </w:r>
          </w:p>
        </w:tc>
        <w:tc>
          <w:tcPr>
            <w:tcW w:w="4962" w:type="dxa"/>
          </w:tcPr>
          <w:p w:rsidR="00973957" w:rsidRPr="00973957" w:rsidRDefault="00973957" w:rsidP="007B25F4">
            <w:pPr>
              <w:spacing w:after="0"/>
              <w:jc w:val="both"/>
              <w:rPr>
                <w:rFonts w:ascii="Times New Roman" w:hAnsi="Times New Roman"/>
                <w:b/>
                <w:sz w:val="26"/>
                <w:szCs w:val="26"/>
              </w:rPr>
            </w:pPr>
            <w:r w:rsidRPr="00973957">
              <w:rPr>
                <w:rFonts w:ascii="Times New Roman" w:hAnsi="Times New Roman"/>
                <w:b/>
                <w:sz w:val="26"/>
                <w:szCs w:val="26"/>
              </w:rPr>
              <w:t>Điều 3. Nguồn kinh phí thực hiện</w:t>
            </w:r>
          </w:p>
          <w:p w:rsidR="00973957" w:rsidRPr="00973957" w:rsidRDefault="00973957" w:rsidP="007B25F4">
            <w:pPr>
              <w:spacing w:after="0"/>
              <w:jc w:val="both"/>
              <w:rPr>
                <w:rFonts w:ascii="Times New Roman" w:hAnsi="Times New Roman"/>
                <w:sz w:val="26"/>
                <w:szCs w:val="26"/>
              </w:rPr>
            </w:pPr>
            <w:r w:rsidRPr="00973957">
              <w:rPr>
                <w:rFonts w:ascii="Times New Roman" w:hAnsi="Times New Roman"/>
                <w:sz w:val="26"/>
                <w:szCs w:val="26"/>
              </w:rPr>
              <w:t>1. Nguồn ngân sách địa phương (nguồn chi sự nghiệp giáo dục và đào tạo) theo quy định của Luật Ngân sách Nhà nước.</w:t>
            </w:r>
          </w:p>
          <w:p w:rsidR="00973957" w:rsidRPr="00973957" w:rsidRDefault="00973957" w:rsidP="007B25F4">
            <w:pPr>
              <w:spacing w:after="0"/>
              <w:jc w:val="both"/>
              <w:rPr>
                <w:rFonts w:ascii="Times New Roman" w:hAnsi="Times New Roman"/>
                <w:sz w:val="26"/>
                <w:szCs w:val="26"/>
              </w:rPr>
            </w:pPr>
            <w:r w:rsidRPr="00973957">
              <w:rPr>
                <w:rFonts w:ascii="Times New Roman" w:hAnsi="Times New Roman"/>
                <w:sz w:val="26"/>
                <w:szCs w:val="26"/>
              </w:rPr>
              <w:lastRenderedPageBreak/>
              <w:t>2. Nguồn tài trợ, hỗ trợ của các tổ chức, cá nhân trong và ngoài nước; các nguồn vốn xã hội hóa, nguồn vốn huy động hợp pháp, nguồn thu khác theo quy định của pháp luật.</w:t>
            </w:r>
          </w:p>
        </w:tc>
        <w:tc>
          <w:tcPr>
            <w:tcW w:w="4536" w:type="dxa"/>
            <w:gridSpan w:val="2"/>
            <w:vMerge/>
          </w:tcPr>
          <w:p w:rsidR="00973957" w:rsidRPr="00973957" w:rsidRDefault="00973957" w:rsidP="00E77D59">
            <w:pPr>
              <w:spacing w:after="0"/>
              <w:jc w:val="both"/>
              <w:rPr>
                <w:rFonts w:ascii="Times New Roman" w:hAnsi="Times New Roman"/>
                <w:sz w:val="26"/>
                <w:szCs w:val="26"/>
              </w:rPr>
            </w:pPr>
          </w:p>
        </w:tc>
        <w:tc>
          <w:tcPr>
            <w:tcW w:w="2409" w:type="dxa"/>
            <w:gridSpan w:val="2"/>
            <w:vMerge/>
          </w:tcPr>
          <w:p w:rsidR="00973957" w:rsidRPr="00973957" w:rsidRDefault="00973957" w:rsidP="00E77D59">
            <w:pPr>
              <w:spacing w:after="0"/>
              <w:jc w:val="both"/>
              <w:rPr>
                <w:rFonts w:ascii="Times New Roman" w:hAnsi="Times New Roman"/>
                <w:sz w:val="26"/>
                <w:szCs w:val="26"/>
              </w:rPr>
            </w:pPr>
          </w:p>
        </w:tc>
      </w:tr>
      <w:tr w:rsidR="00344C8F" w:rsidRPr="00973957" w:rsidTr="00651318">
        <w:trPr>
          <w:gridAfter w:val="1"/>
          <w:wAfter w:w="11" w:type="dxa"/>
        </w:trPr>
        <w:tc>
          <w:tcPr>
            <w:tcW w:w="2972" w:type="dxa"/>
          </w:tcPr>
          <w:p w:rsidR="00344C8F" w:rsidRPr="00973957" w:rsidRDefault="00344C8F" w:rsidP="00E77D59">
            <w:pPr>
              <w:spacing w:after="0"/>
              <w:jc w:val="both"/>
              <w:rPr>
                <w:rFonts w:ascii="Times New Roman" w:hAnsi="Times New Roman"/>
                <w:sz w:val="26"/>
                <w:szCs w:val="26"/>
              </w:rPr>
            </w:pPr>
            <w:r w:rsidRPr="00973957">
              <w:rPr>
                <w:rFonts w:ascii="Times New Roman" w:hAnsi="Times New Roman"/>
                <w:sz w:val="26"/>
                <w:szCs w:val="26"/>
              </w:rPr>
              <w:lastRenderedPageBreak/>
              <w:t>Nghị quyết số 10/2023/NQ-HĐND ngày 21/7/2023 của HĐND tỉnh Khánh Hòa (được sửa đổi bởi Nghị quyết số 18/2024/NQ-HĐND ngày 12/12/2024 của HĐND tỉnh Khánh Hòa)</w:t>
            </w:r>
          </w:p>
        </w:tc>
        <w:tc>
          <w:tcPr>
            <w:tcW w:w="4962" w:type="dxa"/>
          </w:tcPr>
          <w:p w:rsidR="00344C8F" w:rsidRPr="00973957" w:rsidRDefault="00344C8F" w:rsidP="006C5C53">
            <w:pPr>
              <w:spacing w:after="0"/>
              <w:jc w:val="both"/>
              <w:rPr>
                <w:rFonts w:ascii="Times New Roman" w:hAnsi="Times New Roman"/>
                <w:b/>
                <w:sz w:val="26"/>
                <w:szCs w:val="26"/>
              </w:rPr>
            </w:pPr>
            <w:r w:rsidRPr="00973957">
              <w:rPr>
                <w:rFonts w:ascii="Times New Roman" w:hAnsi="Times New Roman"/>
                <w:b/>
                <w:sz w:val="26"/>
                <w:szCs w:val="26"/>
              </w:rPr>
              <w:t>Điều 4. Tổ chức thực hiện</w:t>
            </w:r>
          </w:p>
          <w:p w:rsidR="00344C8F" w:rsidRPr="00973957" w:rsidRDefault="00344C8F" w:rsidP="006C5C53">
            <w:pPr>
              <w:spacing w:after="0"/>
              <w:jc w:val="both"/>
              <w:rPr>
                <w:rFonts w:ascii="Times New Roman" w:hAnsi="Times New Roman"/>
                <w:sz w:val="26"/>
                <w:szCs w:val="26"/>
              </w:rPr>
            </w:pPr>
            <w:r w:rsidRPr="00973957">
              <w:rPr>
                <w:rFonts w:ascii="Times New Roman" w:hAnsi="Times New Roman"/>
                <w:sz w:val="26"/>
                <w:szCs w:val="26"/>
              </w:rPr>
              <w:t>1. Giao Ủy ban nhân dân tỉnh tổ chức triển khai thực hiện Nghị quyết này.</w:t>
            </w:r>
          </w:p>
          <w:p w:rsidR="00344C8F" w:rsidRPr="00973957" w:rsidRDefault="00344C8F" w:rsidP="006C5C53">
            <w:pPr>
              <w:spacing w:after="0"/>
              <w:jc w:val="both"/>
              <w:rPr>
                <w:rFonts w:ascii="Times New Roman" w:hAnsi="Times New Roman"/>
                <w:sz w:val="26"/>
                <w:szCs w:val="26"/>
              </w:rPr>
            </w:pPr>
            <w:r w:rsidRPr="00973957">
              <w:rPr>
                <w:rFonts w:ascii="Times New Roman" w:hAnsi="Times New Roman"/>
                <w:sz w:val="26"/>
                <w:szCs w:val="26"/>
              </w:rPr>
              <w:t>2. Giao Thường trực Hội đồng nhân dân tỉnh, các Ban của Hội đồng nhân dân tỉnh, các Tổ đại biểu Hội đồng nhân dân tỉnh và các đại biểu Hội đồng nhân dân tỉnh giám sát việc thực hiện Nghị quyết này.</w:t>
            </w:r>
          </w:p>
        </w:tc>
        <w:tc>
          <w:tcPr>
            <w:tcW w:w="4536" w:type="dxa"/>
            <w:gridSpan w:val="2"/>
            <w:vMerge w:val="restart"/>
          </w:tcPr>
          <w:p w:rsidR="00344C8F" w:rsidRPr="00973957" w:rsidRDefault="00344C8F" w:rsidP="00E77D59">
            <w:pPr>
              <w:spacing w:after="0"/>
              <w:jc w:val="both"/>
              <w:rPr>
                <w:rFonts w:ascii="Times New Roman" w:hAnsi="Times New Roman"/>
                <w:b/>
                <w:sz w:val="26"/>
                <w:szCs w:val="26"/>
              </w:rPr>
            </w:pPr>
            <w:r w:rsidRPr="00973957">
              <w:rPr>
                <w:rFonts w:ascii="Times New Roman" w:hAnsi="Times New Roman"/>
                <w:b/>
                <w:sz w:val="26"/>
                <w:szCs w:val="26"/>
              </w:rPr>
              <w:t>Điều 4. Tổ chức thực hiện</w:t>
            </w:r>
          </w:p>
          <w:p w:rsidR="00344C8F" w:rsidRPr="00973957" w:rsidRDefault="00344C8F" w:rsidP="00E77D59">
            <w:pPr>
              <w:spacing w:after="0"/>
              <w:jc w:val="both"/>
              <w:rPr>
                <w:rFonts w:ascii="Times New Roman" w:hAnsi="Times New Roman"/>
                <w:sz w:val="26"/>
                <w:szCs w:val="26"/>
              </w:rPr>
            </w:pPr>
            <w:r w:rsidRPr="00973957">
              <w:rPr>
                <w:rFonts w:ascii="Times New Roman" w:hAnsi="Times New Roman"/>
                <w:sz w:val="26"/>
                <w:szCs w:val="26"/>
              </w:rPr>
              <w:t>1. Nghị quyết này có hiệu lực thi hành kể từ ngày ... tháng ... năm 2026 và thay thế các Nghị quyết sau:</w:t>
            </w:r>
          </w:p>
          <w:p w:rsidR="00344C8F" w:rsidRPr="00973957" w:rsidRDefault="00344C8F" w:rsidP="00E77D59">
            <w:pPr>
              <w:spacing w:after="0"/>
              <w:jc w:val="both"/>
              <w:rPr>
                <w:rFonts w:ascii="Times New Roman" w:hAnsi="Times New Roman"/>
                <w:sz w:val="26"/>
                <w:szCs w:val="26"/>
              </w:rPr>
            </w:pPr>
            <w:r w:rsidRPr="00973957">
              <w:rPr>
                <w:rFonts w:ascii="Times New Roman" w:hAnsi="Times New Roman"/>
                <w:sz w:val="26"/>
                <w:szCs w:val="26"/>
              </w:rPr>
              <w:t>- Nghị quyết số 10/2023/NQ-HĐND ngày 21/7/2023 của HĐND tỉnh Khánh Hòa (trước sáp nhập) quy định nội dung và mức chi để tổ chức các kỳ thi, cuộc thi, hội thi trong lĩnh vực giáo dục và đào tạo trên địa bàn tỉnh Khánh Hòa.</w:t>
            </w:r>
          </w:p>
          <w:p w:rsidR="00344C8F" w:rsidRPr="00973957" w:rsidRDefault="00344C8F" w:rsidP="00E77D59">
            <w:pPr>
              <w:spacing w:after="0"/>
              <w:jc w:val="both"/>
              <w:rPr>
                <w:rFonts w:ascii="Times New Roman" w:hAnsi="Times New Roman"/>
                <w:sz w:val="26"/>
                <w:szCs w:val="26"/>
              </w:rPr>
            </w:pPr>
            <w:r w:rsidRPr="00973957">
              <w:rPr>
                <w:rFonts w:ascii="Times New Roman" w:hAnsi="Times New Roman"/>
                <w:sz w:val="26"/>
                <w:szCs w:val="26"/>
              </w:rPr>
              <w:t>- Nghị quyết số 18/2024/NQ-HĐND ngày 12/12/2024 của HĐND tỉnh Khánh Hòa (trước sáp nhập) sửa đổi, bổ sung một số điều của Nghị quyết số 10/2023/NQ-HĐND ngày 21/7/2023 của Hội đồng nhân dân tỉnh quy định nội dung và mức chi để tổ chức các kỳ thi, cuộc thi, hội thi trong lĩnh vực giáo dục và đào tạo trên địa bàn tỉnh Khánh Hòa.</w:t>
            </w:r>
          </w:p>
          <w:p w:rsidR="00344C8F" w:rsidRPr="00973957" w:rsidRDefault="00344C8F" w:rsidP="00E77D59">
            <w:pPr>
              <w:spacing w:after="0"/>
              <w:jc w:val="both"/>
              <w:rPr>
                <w:rFonts w:ascii="Times New Roman" w:hAnsi="Times New Roman"/>
                <w:sz w:val="26"/>
                <w:szCs w:val="26"/>
              </w:rPr>
            </w:pPr>
            <w:r w:rsidRPr="00973957">
              <w:rPr>
                <w:rFonts w:ascii="Times New Roman" w:hAnsi="Times New Roman"/>
                <w:sz w:val="26"/>
                <w:szCs w:val="26"/>
              </w:rPr>
              <w:t xml:space="preserve">- Nghị quyết số 09/2022/NQ-HĐND ngày 20/7/2022 của HĐND tỉnh Ninh Thuận </w:t>
            </w:r>
            <w:r w:rsidRPr="00973957">
              <w:rPr>
                <w:rFonts w:ascii="Times New Roman" w:hAnsi="Times New Roman"/>
                <w:sz w:val="26"/>
                <w:szCs w:val="26"/>
              </w:rPr>
              <w:lastRenderedPageBreak/>
              <w:t>(trước sáp nhập) quy định nội dung, mức chi để tổ chức các kỳ thi, cuộc thi, hội thi trong lĩnh vực Giáo dục và Đào tạo trên địa bàn tỉnh Ninh Thuận.</w:t>
            </w:r>
          </w:p>
          <w:p w:rsidR="00344C8F" w:rsidRPr="00973957" w:rsidRDefault="00344C8F" w:rsidP="00E77D59">
            <w:pPr>
              <w:spacing w:after="0"/>
              <w:jc w:val="both"/>
              <w:rPr>
                <w:rFonts w:ascii="Times New Roman" w:hAnsi="Times New Roman"/>
                <w:sz w:val="26"/>
                <w:szCs w:val="26"/>
              </w:rPr>
            </w:pPr>
            <w:r w:rsidRPr="00973957">
              <w:rPr>
                <w:rFonts w:ascii="Times New Roman" w:hAnsi="Times New Roman"/>
                <w:sz w:val="26"/>
                <w:szCs w:val="26"/>
              </w:rPr>
              <w:t>2. Giao Ủy ban nhân dân tỉnh tổ chức thực hiện Nghị quyết này theo đúng các quy định của pháp luật.</w:t>
            </w:r>
          </w:p>
          <w:p w:rsidR="00344C8F" w:rsidRPr="00973957" w:rsidRDefault="00344C8F" w:rsidP="00E77D59">
            <w:pPr>
              <w:spacing w:after="0"/>
              <w:jc w:val="both"/>
              <w:rPr>
                <w:rFonts w:ascii="Times New Roman" w:hAnsi="Times New Roman"/>
                <w:sz w:val="26"/>
                <w:szCs w:val="26"/>
              </w:rPr>
            </w:pPr>
            <w:r w:rsidRPr="00973957">
              <w:rPr>
                <w:rFonts w:ascii="Times New Roman" w:hAnsi="Times New Roman"/>
                <w:sz w:val="26"/>
                <w:szCs w:val="26"/>
              </w:rPr>
              <w:t>3. Giao Thường trực Hội đồng nhân dân, các Ban Hội đồng nhân dân, các Tổ đại biểu và đại biểu Hội đồng nhân dân tỉnh giám sát việc thực hiện Nghị quyết này.</w:t>
            </w:r>
          </w:p>
        </w:tc>
        <w:tc>
          <w:tcPr>
            <w:tcW w:w="2409" w:type="dxa"/>
            <w:gridSpan w:val="2"/>
            <w:vMerge w:val="restart"/>
          </w:tcPr>
          <w:p w:rsidR="00344C8F" w:rsidRPr="00344C8F" w:rsidRDefault="00344C8F" w:rsidP="00344C8F">
            <w:pPr>
              <w:spacing w:after="0"/>
              <w:jc w:val="both"/>
              <w:rPr>
                <w:rFonts w:ascii="Times New Roman" w:hAnsi="Times New Roman"/>
                <w:sz w:val="26"/>
                <w:szCs w:val="26"/>
              </w:rPr>
            </w:pPr>
            <w:r w:rsidRPr="00344C8F">
              <w:rPr>
                <w:rFonts w:ascii="Times New Roman" w:hAnsi="Times New Roman"/>
                <w:sz w:val="26"/>
                <w:szCs w:val="26"/>
              </w:rPr>
              <w:lastRenderedPageBreak/>
              <w:t>Kế thừa các nội dung của Nghị quyết số 10/2023/NQ-HĐND ngày 21/7/2023 của HĐND tỉnh Khánh Hòa (được sửa đổi bởi Nghị quyết số 18/2024/NQ-HĐND ngày 12/12/2024 của HĐND tỉnh Khánh Hòa)</w:t>
            </w:r>
          </w:p>
          <w:p w:rsidR="00344C8F" w:rsidRPr="00973957" w:rsidRDefault="00344C8F" w:rsidP="00973957">
            <w:pPr>
              <w:spacing w:after="0"/>
              <w:jc w:val="both"/>
              <w:rPr>
                <w:rFonts w:ascii="Times New Roman" w:hAnsi="Times New Roman"/>
                <w:sz w:val="26"/>
                <w:szCs w:val="26"/>
              </w:rPr>
            </w:pPr>
          </w:p>
        </w:tc>
      </w:tr>
      <w:tr w:rsidR="00344C8F" w:rsidRPr="00973957" w:rsidTr="00651318">
        <w:trPr>
          <w:gridAfter w:val="1"/>
          <w:wAfter w:w="11" w:type="dxa"/>
        </w:trPr>
        <w:tc>
          <w:tcPr>
            <w:tcW w:w="2972" w:type="dxa"/>
          </w:tcPr>
          <w:p w:rsidR="00344C8F" w:rsidRPr="00973957" w:rsidRDefault="00344C8F" w:rsidP="00E77D59">
            <w:pPr>
              <w:spacing w:after="0"/>
              <w:jc w:val="both"/>
              <w:rPr>
                <w:rFonts w:ascii="Times New Roman" w:hAnsi="Times New Roman"/>
                <w:sz w:val="26"/>
                <w:szCs w:val="26"/>
              </w:rPr>
            </w:pPr>
            <w:r w:rsidRPr="00973957">
              <w:rPr>
                <w:rFonts w:ascii="Times New Roman" w:hAnsi="Times New Roman"/>
                <w:sz w:val="26"/>
                <w:szCs w:val="26"/>
              </w:rPr>
              <w:t>Nghị quyết số 09/2022/NQ-HĐND ngày 20/7/2022 của HĐND tỉnh Ninh Thuận</w:t>
            </w:r>
          </w:p>
        </w:tc>
        <w:tc>
          <w:tcPr>
            <w:tcW w:w="4962" w:type="dxa"/>
          </w:tcPr>
          <w:p w:rsidR="00344C8F" w:rsidRPr="00973957" w:rsidRDefault="00344C8F" w:rsidP="007B25F4">
            <w:pPr>
              <w:spacing w:after="0"/>
              <w:jc w:val="both"/>
              <w:rPr>
                <w:rFonts w:ascii="Times New Roman" w:hAnsi="Times New Roman"/>
                <w:b/>
                <w:sz w:val="26"/>
                <w:szCs w:val="26"/>
              </w:rPr>
            </w:pPr>
            <w:r w:rsidRPr="00973957">
              <w:rPr>
                <w:rFonts w:ascii="Times New Roman" w:hAnsi="Times New Roman"/>
                <w:b/>
                <w:sz w:val="26"/>
                <w:szCs w:val="26"/>
              </w:rPr>
              <w:t>Điều 4. Tổ chức thực hiện</w:t>
            </w:r>
          </w:p>
          <w:p w:rsidR="00344C8F" w:rsidRPr="00973957" w:rsidRDefault="00344C8F" w:rsidP="007B25F4">
            <w:pPr>
              <w:spacing w:after="0"/>
              <w:jc w:val="both"/>
              <w:rPr>
                <w:rFonts w:ascii="Times New Roman" w:hAnsi="Times New Roman"/>
                <w:sz w:val="26"/>
                <w:szCs w:val="26"/>
              </w:rPr>
            </w:pPr>
            <w:r w:rsidRPr="00973957">
              <w:rPr>
                <w:rFonts w:ascii="Times New Roman" w:hAnsi="Times New Roman"/>
                <w:sz w:val="26"/>
                <w:szCs w:val="26"/>
              </w:rPr>
              <w:t>1. Thời gian thực hiện từ: ngày 01 tháng 6 năm 2022.</w:t>
            </w:r>
          </w:p>
          <w:p w:rsidR="00344C8F" w:rsidRPr="00973957" w:rsidRDefault="00344C8F" w:rsidP="007B25F4">
            <w:pPr>
              <w:spacing w:after="0"/>
              <w:jc w:val="both"/>
              <w:rPr>
                <w:rFonts w:ascii="Times New Roman" w:hAnsi="Times New Roman"/>
                <w:sz w:val="26"/>
                <w:szCs w:val="26"/>
              </w:rPr>
            </w:pPr>
            <w:r w:rsidRPr="00973957">
              <w:rPr>
                <w:rFonts w:ascii="Times New Roman" w:hAnsi="Times New Roman"/>
                <w:sz w:val="26"/>
                <w:szCs w:val="26"/>
              </w:rPr>
              <w:t>2. Giao Ủy ban nhân dân tỉnh căn cứ nhiệm vụ, quyền hạn triển khai thực hiện Nghị quyết theo quy định pháp luật.</w:t>
            </w:r>
          </w:p>
          <w:p w:rsidR="00344C8F" w:rsidRPr="00973957" w:rsidRDefault="00344C8F" w:rsidP="007B25F4">
            <w:pPr>
              <w:spacing w:after="0"/>
              <w:jc w:val="both"/>
              <w:rPr>
                <w:rFonts w:ascii="Times New Roman" w:hAnsi="Times New Roman"/>
                <w:sz w:val="26"/>
                <w:szCs w:val="26"/>
              </w:rPr>
            </w:pPr>
            <w:r w:rsidRPr="00973957">
              <w:rPr>
                <w:rFonts w:ascii="Times New Roman" w:hAnsi="Times New Roman"/>
                <w:sz w:val="26"/>
                <w:szCs w:val="26"/>
              </w:rPr>
              <w:t>3. Giao Thường trực Hội đồng nhân dân, các Ban Hội đồng nhân dân, Tổ đại biểu và đại biểu Hội đồng nhân dân tỉnh giám sát việc thực hiện Nghị quyết.</w:t>
            </w:r>
          </w:p>
          <w:p w:rsidR="00344C8F" w:rsidRPr="00973957" w:rsidRDefault="00344C8F" w:rsidP="007B25F4">
            <w:pPr>
              <w:spacing w:after="0"/>
              <w:jc w:val="both"/>
              <w:rPr>
                <w:rFonts w:ascii="Times New Roman" w:hAnsi="Times New Roman"/>
                <w:sz w:val="26"/>
                <w:szCs w:val="26"/>
              </w:rPr>
            </w:pPr>
            <w:r w:rsidRPr="00973957">
              <w:rPr>
                <w:rFonts w:ascii="Times New Roman" w:hAnsi="Times New Roman"/>
                <w:sz w:val="26"/>
                <w:szCs w:val="26"/>
              </w:rPr>
              <w:t xml:space="preserve">4. Khi các văn bản quy định về chế độ, định mức chi dẫn chiếu để áp dụng trong Nghị quyết này được sửa đổi, bổ sung hoặc thay thế </w:t>
            </w:r>
            <w:r w:rsidRPr="00973957">
              <w:rPr>
                <w:rFonts w:ascii="Times New Roman" w:hAnsi="Times New Roman"/>
                <w:sz w:val="26"/>
                <w:szCs w:val="26"/>
              </w:rPr>
              <w:lastRenderedPageBreak/>
              <w:t>bằng văn bản mới thì áp dụng theo các văn bản sửa đổi, bổ sung hoặc thay thế đó.</w:t>
            </w:r>
          </w:p>
        </w:tc>
        <w:tc>
          <w:tcPr>
            <w:tcW w:w="4536" w:type="dxa"/>
            <w:gridSpan w:val="2"/>
            <w:vMerge/>
          </w:tcPr>
          <w:p w:rsidR="00344C8F" w:rsidRPr="00973957" w:rsidRDefault="00344C8F" w:rsidP="00E77D59">
            <w:pPr>
              <w:spacing w:after="0"/>
              <w:jc w:val="both"/>
              <w:rPr>
                <w:rFonts w:ascii="Times New Roman" w:hAnsi="Times New Roman"/>
                <w:sz w:val="26"/>
                <w:szCs w:val="26"/>
              </w:rPr>
            </w:pPr>
          </w:p>
        </w:tc>
        <w:tc>
          <w:tcPr>
            <w:tcW w:w="2409" w:type="dxa"/>
            <w:gridSpan w:val="2"/>
            <w:vMerge/>
          </w:tcPr>
          <w:p w:rsidR="00344C8F" w:rsidRPr="00973957" w:rsidRDefault="00344C8F" w:rsidP="00E77D59">
            <w:pPr>
              <w:spacing w:after="0"/>
              <w:jc w:val="both"/>
              <w:rPr>
                <w:rFonts w:ascii="Times New Roman" w:hAnsi="Times New Roman"/>
                <w:sz w:val="26"/>
                <w:szCs w:val="26"/>
              </w:rPr>
            </w:pPr>
          </w:p>
        </w:tc>
      </w:tr>
    </w:tbl>
    <w:p w:rsidR="003B08AD" w:rsidRDefault="003B08AD" w:rsidP="003B08AD"/>
    <w:sectPr w:rsidR="003B08AD" w:rsidSect="00A538DC">
      <w:pgSz w:w="16838" w:h="11906" w:orient="landscape"/>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B1C90"/>
    <w:multiLevelType w:val="hybridMultilevel"/>
    <w:tmpl w:val="DF7C394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8AD"/>
    <w:rsid w:val="00344C8F"/>
    <w:rsid w:val="003B08AD"/>
    <w:rsid w:val="00651318"/>
    <w:rsid w:val="006A062C"/>
    <w:rsid w:val="006C5C53"/>
    <w:rsid w:val="007B25F4"/>
    <w:rsid w:val="00973957"/>
    <w:rsid w:val="00975D82"/>
    <w:rsid w:val="00B56F71"/>
    <w:rsid w:val="00B62EE8"/>
    <w:rsid w:val="00BE3561"/>
    <w:rsid w:val="00E77D59"/>
    <w:rsid w:val="00FD5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D5A21"/>
  <w15:chartTrackingRefBased/>
  <w15:docId w15:val="{912C7C1B-BDF9-4ADD-A14A-9CC163CC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C8F"/>
    <w:pPr>
      <w:spacing w:after="200" w:line="276" w:lineRule="auto"/>
    </w:pPr>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B0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TNV Student</dc:creator>
  <cp:keywords/>
  <dc:description/>
  <cp:lastModifiedBy>TNV Student</cp:lastModifiedBy>
  <cp:revision>10</cp:revision>
  <dcterms:created xsi:type="dcterms:W3CDTF">2026-03-27T10:08:00Z</dcterms:created>
  <dcterms:modified xsi:type="dcterms:W3CDTF">2026-03-27T11:00:00Z</dcterms:modified>
</cp:coreProperties>
</file>